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footer4.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er6.xml" ContentType="application/vnd.openxmlformats-officedocument.wordprocessingml.footer+xml"/>
  <Override PartName="/word/header3.xml" ContentType="application/vnd.openxmlformats-officedocument.wordprocessingml.header+xml"/>
  <Default Extension="png" ContentType="image/png"/>
  <Override PartName="/word/numbering.xml" ContentType="application/vnd.openxmlformats-officedocument.wordprocessingml.numbering+xml"/>
  <Override PartName="/word/document.xml" ContentType="application/vnd.openxmlformats-officedocument.wordprocessingml.document.main+xml"/>
  <Default Extension="xml" ContentType="application/xml"/>
  <Override PartName="/word/fontTable.xml" ContentType="application/vnd.openxmlformats-officedocument.wordprocessingml.fontTable+xml"/>
  <Override PartName="/word/footer1.xml" ContentType="application/vnd.openxmlformats-officedocument.wordprocessingml.footer+xml"/>
  <Override PartName="/word/theme/theme1.xml" ContentType="application/vnd.openxmlformats-officedocument.theme+xml"/>
  <Override PartName="/docProps/app.xml" ContentType="application/vnd.openxmlformats-officedocument.extended-properties+xml"/>
  <Override PartName="/word/footer3.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Default Extension="jpeg" ContentType="image/jpeg"/>
  <Override PartName="/word/settings.xml" ContentType="application/vnd.openxmlformats-officedocument.wordprocessingml.settings+xml"/>
  <Override PartName="/word/header4.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docProps/custom.xml" ContentType="application/vnd.openxmlformats-officedocument.custom-properti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8D1804" w:rsidRPr="00E04A13" w:rsidRDefault="00EA4FE5" w:rsidP="008D1804">
      <w:pPr>
        <w:spacing w:after="360"/>
        <w:rPr>
          <w:rFonts w:cs="Arial"/>
          <w:lang w:val="en-GB"/>
        </w:rPr>
      </w:pPr>
      <w:r w:rsidRPr="00EA4FE5">
        <w:rPr>
          <w:rFonts w:cs="Arial"/>
          <w:noProof/>
          <w:lang w:val="en-GB" w:eastAsia="de-DE"/>
        </w:rPr>
        <w:pict>
          <v:shapetype id="_x0000_t32" coordsize="21600,21600" o:spt="32" o:oned="t" path="m0,0l21600,21600e" filled="f">
            <v:path arrowok="t" fillok="f" o:connecttype="none"/>
            <o:lock v:ext="edit" shapetype="t"/>
          </v:shapetype>
          <v:shape id="_x0000_s1026" type="#_x0000_t32" style="position:absolute;left:0;text-align:left;margin-left:362.65pt;margin-top:-2.7pt;width:.05pt;height:716.75pt;z-index:251657216" o:connectortype="straight" strokecolor="#182983"/>
        </w:pict>
      </w:r>
      <w:r w:rsidR="00ED72A7" w:rsidRPr="00E04A13">
        <w:rPr>
          <w:rFonts w:cs="Arial"/>
          <w:noProof/>
        </w:rPr>
        <w:drawing>
          <wp:anchor distT="0" distB="0" distL="114300" distR="114300" simplePos="0" relativeHeight="251658240" behindDoc="0" locked="0" layoutInCell="1" allowOverlap="1">
            <wp:simplePos x="0" y="0"/>
            <wp:positionH relativeFrom="column">
              <wp:posOffset>4891405</wp:posOffset>
            </wp:positionH>
            <wp:positionV relativeFrom="paragraph">
              <wp:posOffset>-34290</wp:posOffset>
            </wp:positionV>
            <wp:extent cx="1197610" cy="1073785"/>
            <wp:effectExtent l="25400" t="0" r="0" b="0"/>
            <wp:wrapNone/>
            <wp:docPr id="26" name="Bild 6" descr="ecologic-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descr="ecologic-logo-S"/>
                    <pic:cNvPicPr>
                      <a:picLocks noChangeAspect="1" noChangeArrowheads="1"/>
                    </pic:cNvPicPr>
                  </pic:nvPicPr>
                  <pic:blipFill>
                    <a:blip r:embed="rId7" cstate="print"/>
                    <a:srcRect/>
                    <a:stretch>
                      <a:fillRect/>
                    </a:stretch>
                  </pic:blipFill>
                  <pic:spPr bwMode="auto">
                    <a:xfrm>
                      <a:off x="0" y="0"/>
                      <a:ext cx="1197610" cy="1073785"/>
                    </a:xfrm>
                    <a:prstGeom prst="rect">
                      <a:avLst/>
                    </a:prstGeom>
                    <a:noFill/>
                    <a:ln w="9525">
                      <a:noFill/>
                      <a:miter lim="800000"/>
                      <a:headEnd/>
                      <a:tailEnd/>
                    </a:ln>
                  </pic:spPr>
                </pic:pic>
              </a:graphicData>
            </a:graphic>
          </wp:anchor>
        </w:drawing>
      </w:r>
    </w:p>
    <w:p w:rsidR="008D1804" w:rsidRPr="00E04A13" w:rsidRDefault="008D1804" w:rsidP="008D1804">
      <w:pPr>
        <w:spacing w:after="360"/>
        <w:rPr>
          <w:rFonts w:cs="Arial"/>
          <w:lang w:val="en-GB"/>
        </w:rPr>
      </w:pPr>
    </w:p>
    <w:p w:rsidR="008D1804" w:rsidRPr="00E04A13" w:rsidRDefault="008D1804" w:rsidP="008D1804">
      <w:pPr>
        <w:spacing w:after="360"/>
        <w:rPr>
          <w:rFonts w:cs="Arial"/>
          <w:lang w:val="en-GB"/>
        </w:rPr>
      </w:pPr>
    </w:p>
    <w:p w:rsidR="008D1804" w:rsidRPr="00E04A13" w:rsidRDefault="008D1804" w:rsidP="008D1804">
      <w:pPr>
        <w:spacing w:after="360"/>
        <w:rPr>
          <w:rFonts w:cs="Arial"/>
          <w:lang w:val="en-GB"/>
        </w:rPr>
      </w:pPr>
    </w:p>
    <w:p w:rsidR="008D1804" w:rsidRPr="00E04A13" w:rsidRDefault="008D1804" w:rsidP="008D1804">
      <w:pPr>
        <w:spacing w:after="360"/>
        <w:rPr>
          <w:rFonts w:cs="Arial"/>
          <w:lang w:val="en-GB"/>
        </w:rPr>
      </w:pPr>
    </w:p>
    <w:p w:rsidR="008D1804" w:rsidRPr="00E04A13" w:rsidRDefault="00FA3788" w:rsidP="008D1804">
      <w:pPr>
        <w:pStyle w:val="Title"/>
        <w:rPr>
          <w:lang w:val="en-GB"/>
        </w:rPr>
      </w:pPr>
      <w:r w:rsidRPr="00E04A13">
        <w:rPr>
          <w:lang w:val="en-GB"/>
        </w:rPr>
        <w:t>How crisis-</w:t>
      </w:r>
      <w:r w:rsidR="00C175B6" w:rsidRPr="00E04A13">
        <w:rPr>
          <w:lang w:val="en-GB"/>
        </w:rPr>
        <w:t>resistant and competitive are Europe’s Eco-Industries</w:t>
      </w:r>
      <w:r w:rsidRPr="00E04A13">
        <w:rPr>
          <w:lang w:val="en-GB"/>
        </w:rPr>
        <w:t>?</w:t>
      </w:r>
    </w:p>
    <w:p w:rsidR="008D1804" w:rsidRPr="00E04A13" w:rsidRDefault="008D1804" w:rsidP="008D1804">
      <w:pPr>
        <w:spacing w:after="360"/>
        <w:rPr>
          <w:rFonts w:cs="Arial"/>
          <w:lang w:val="en-GB"/>
        </w:rPr>
      </w:pPr>
    </w:p>
    <w:p w:rsidR="008D1804" w:rsidRPr="00E04A13" w:rsidRDefault="008D1804" w:rsidP="008D1804">
      <w:pPr>
        <w:spacing w:after="360"/>
        <w:rPr>
          <w:rFonts w:cs="Arial"/>
          <w:lang w:val="en-GB"/>
        </w:rPr>
      </w:pPr>
    </w:p>
    <w:p w:rsidR="008D1804" w:rsidRPr="00E04A13" w:rsidRDefault="00C175B6" w:rsidP="008D1804">
      <w:pPr>
        <w:pStyle w:val="EcoTitleAuthors"/>
        <w:rPr>
          <w:lang w:val="en-GB"/>
        </w:rPr>
      </w:pPr>
      <w:r w:rsidRPr="00E04A13">
        <w:rPr>
          <w:lang w:val="en-GB"/>
        </w:rPr>
        <w:t>Benjamin Görlach</w:t>
      </w:r>
      <w:r w:rsidR="009775D7" w:rsidRPr="00E04A13">
        <w:rPr>
          <w:lang w:val="en-GB"/>
        </w:rPr>
        <w:br/>
      </w:r>
      <w:r w:rsidRPr="00E04A13">
        <w:rPr>
          <w:lang w:val="en-GB"/>
        </w:rPr>
        <w:t xml:space="preserve">Lucas Porsch </w:t>
      </w:r>
      <w:r w:rsidR="009775D7" w:rsidRPr="00E04A13">
        <w:rPr>
          <w:lang w:val="en-GB"/>
        </w:rPr>
        <w:br/>
      </w:r>
      <w:r w:rsidRPr="00E04A13">
        <w:rPr>
          <w:lang w:val="en-GB"/>
        </w:rPr>
        <w:t>Dominic Marcellino</w:t>
      </w:r>
      <w:r w:rsidR="009775D7" w:rsidRPr="00E04A13">
        <w:rPr>
          <w:lang w:val="en-GB"/>
        </w:rPr>
        <w:br/>
      </w:r>
      <w:r w:rsidRPr="00E04A13">
        <w:rPr>
          <w:lang w:val="en-GB"/>
        </w:rPr>
        <w:t>Adam Pearson</w:t>
      </w:r>
    </w:p>
    <w:p w:rsidR="008D1804" w:rsidRPr="00E04A13" w:rsidRDefault="008D1804" w:rsidP="008D1804">
      <w:pPr>
        <w:spacing w:after="360"/>
        <w:rPr>
          <w:rFonts w:cs="Arial"/>
          <w:lang w:val="en-GB"/>
        </w:rPr>
      </w:pPr>
    </w:p>
    <w:p w:rsidR="008D1804" w:rsidRPr="00E04A13" w:rsidRDefault="00116494" w:rsidP="008D1804">
      <w:pPr>
        <w:pStyle w:val="EcoTitleAuthors"/>
        <w:rPr>
          <w:lang w:val="en-GB"/>
        </w:rPr>
      </w:pPr>
      <w:r>
        <w:rPr>
          <w:lang w:val="en-GB"/>
        </w:rPr>
        <w:t>January 2014</w:t>
      </w:r>
    </w:p>
    <w:p w:rsidR="008D1804" w:rsidRPr="00E04A13" w:rsidRDefault="008D1804" w:rsidP="008D1804">
      <w:pPr>
        <w:spacing w:after="360"/>
        <w:rPr>
          <w:rFonts w:cs="Arial"/>
          <w:lang w:val="en-GB"/>
        </w:rPr>
      </w:pPr>
    </w:p>
    <w:p w:rsidR="008D1804" w:rsidRPr="00E04A13" w:rsidRDefault="008D1804" w:rsidP="008D1804">
      <w:pPr>
        <w:spacing w:after="360"/>
        <w:rPr>
          <w:rFonts w:cs="Arial"/>
          <w:lang w:val="en-GB"/>
        </w:rPr>
        <w:sectPr w:rsidR="008D1804" w:rsidRPr="00E04A13">
          <w:headerReference w:type="even" r:id="rId8"/>
          <w:headerReference w:type="default" r:id="rId9"/>
          <w:footerReference w:type="even" r:id="rId10"/>
          <w:footerReference w:type="default" r:id="rId11"/>
          <w:headerReference w:type="first" r:id="rId12"/>
          <w:footerReference w:type="first" r:id="rId13"/>
          <w:pgSz w:w="11906" w:h="16838"/>
          <w:pgMar w:top="1417" w:right="3684" w:bottom="1134" w:left="1417" w:header="708" w:footer="708" w:gutter="0"/>
          <w:cols w:space="708"/>
          <w:docGrid w:linePitch="360"/>
        </w:sectPr>
      </w:pPr>
    </w:p>
    <w:p w:rsidR="008D1804" w:rsidRPr="00E04A13" w:rsidRDefault="008D1804" w:rsidP="008D1804">
      <w:pPr>
        <w:pStyle w:val="EcoNumberlessHeading2"/>
        <w:rPr>
          <w:lang w:val="en-GB"/>
        </w:rPr>
      </w:pPr>
      <w:r w:rsidRPr="00E04A13">
        <w:rPr>
          <w:lang w:val="en-GB"/>
        </w:rPr>
        <w:t>About the Ecologic Institute</w:t>
      </w:r>
    </w:p>
    <w:p w:rsidR="008D1804" w:rsidRPr="00E04A13" w:rsidRDefault="008D1804" w:rsidP="006F6028">
      <w:pPr>
        <w:pStyle w:val="EcoStandardExecSumm"/>
        <w:spacing w:after="276"/>
        <w:rPr>
          <w:lang w:val="en-GB"/>
        </w:rPr>
      </w:pPr>
      <w:r w:rsidRPr="00E04A13">
        <w:rPr>
          <w:lang w:val="en-GB"/>
        </w:rPr>
        <w:t>The Ecologic Institute is a private not-for-profit think tank for applied environmental research, policy analysis and consultancy with offices in Berlin, Brussels, Vienna, and Washington DC. An independent, non-partisan body, the Ecologic Institute is dedicated to bringing fresh ideas to environmental policies and sustainable development. The Ecologic Institute's work programme focuses on obtaining practical results. It covers the entire spectrum of environmental issues, including the integration of environmental concerns into other policy fields. Founded in 1995, the Ecologic Institute is a partner in the network of Institutes for European Environmental Policy. The Ecologic Institute acts in the public interest; donations are tax-deductible.</w:t>
      </w:r>
    </w:p>
    <w:p w:rsidR="008D1804" w:rsidRPr="00E04A13" w:rsidRDefault="008D1804" w:rsidP="008D1804">
      <w:pPr>
        <w:spacing w:after="360"/>
        <w:rPr>
          <w:rFonts w:cs="Arial"/>
          <w:lang w:val="en-GB"/>
        </w:rPr>
      </w:pPr>
    </w:p>
    <w:p w:rsidR="008D1804" w:rsidRPr="00E04A13" w:rsidRDefault="008D1804" w:rsidP="008D1804">
      <w:pPr>
        <w:spacing w:after="360"/>
        <w:rPr>
          <w:rFonts w:cs="Arial"/>
          <w:lang w:val="en-GB"/>
        </w:rPr>
        <w:sectPr w:rsidR="008D1804" w:rsidRPr="00E04A13">
          <w:headerReference w:type="default" r:id="rId14"/>
          <w:footerReference w:type="default" r:id="rId15"/>
          <w:pgSz w:w="11906" w:h="16838"/>
          <w:pgMar w:top="1417" w:right="1417" w:bottom="1134" w:left="1417" w:header="708" w:footer="708" w:gutter="0"/>
          <w:cols w:space="708"/>
          <w:docGrid w:linePitch="360"/>
        </w:sectPr>
      </w:pPr>
    </w:p>
    <w:p w:rsidR="008D1804" w:rsidRPr="00E04A13" w:rsidRDefault="008D1804" w:rsidP="00D867C5">
      <w:pPr>
        <w:pStyle w:val="EcoNumberlessHeading1"/>
        <w:rPr>
          <w:lang w:val="en-GB"/>
        </w:rPr>
      </w:pPr>
      <w:r w:rsidRPr="00E04A13">
        <w:rPr>
          <w:lang w:val="en-GB"/>
        </w:rPr>
        <w:t>Table of Contents</w:t>
      </w:r>
    </w:p>
    <w:p w:rsidR="0078734B" w:rsidRDefault="00EA4FE5" w:rsidP="0078734B">
      <w:pPr>
        <w:pStyle w:val="TOC1"/>
        <w:spacing w:after="240"/>
        <w:rPr>
          <w:rFonts w:asciiTheme="minorHAnsi" w:eastAsiaTheme="minorEastAsia" w:hAnsiTheme="minorHAnsi" w:cstheme="minorBidi"/>
          <w:b w:val="0"/>
          <w:noProof/>
          <w:color w:val="auto"/>
          <w:sz w:val="24"/>
          <w:szCs w:val="24"/>
        </w:rPr>
      </w:pPr>
      <w:r w:rsidRPr="00EA4FE5">
        <w:rPr>
          <w:lang w:val="en-GB"/>
        </w:rPr>
        <w:fldChar w:fldCharType="begin"/>
      </w:r>
      <w:r w:rsidR="008D1804" w:rsidRPr="00E04A13">
        <w:rPr>
          <w:lang w:val="en-GB"/>
        </w:rPr>
        <w:instrText xml:space="preserve"> TOC \o "1-3" \h \z \u </w:instrText>
      </w:r>
      <w:r w:rsidRPr="00EA4FE5">
        <w:rPr>
          <w:lang w:val="en-GB"/>
        </w:rPr>
        <w:fldChar w:fldCharType="separate"/>
      </w:r>
      <w:r w:rsidR="0078734B" w:rsidRPr="002E2C0D">
        <w:rPr>
          <w:noProof/>
          <w:lang w:val="en-GB"/>
        </w:rPr>
        <w:t>Main findings of the study</w:t>
      </w:r>
      <w:r w:rsidR="0078734B">
        <w:rPr>
          <w:noProof/>
        </w:rPr>
        <w:tab/>
      </w:r>
      <w:r>
        <w:rPr>
          <w:noProof/>
        </w:rPr>
        <w:fldChar w:fldCharType="begin"/>
      </w:r>
      <w:r w:rsidR="0078734B">
        <w:rPr>
          <w:noProof/>
        </w:rPr>
        <w:instrText xml:space="preserve"> PAGEREF _Toc251626627 \h </w:instrText>
      </w:r>
      <w:r w:rsidR="00024B34">
        <w:rPr>
          <w:noProof/>
        </w:rPr>
      </w:r>
      <w:r>
        <w:rPr>
          <w:noProof/>
        </w:rPr>
        <w:fldChar w:fldCharType="separate"/>
      </w:r>
      <w:r w:rsidR="00503F5D">
        <w:rPr>
          <w:noProof/>
        </w:rPr>
        <w:t>1</w:t>
      </w:r>
      <w:r>
        <w:rPr>
          <w:noProof/>
        </w:rPr>
        <w:fldChar w:fldCharType="end"/>
      </w:r>
    </w:p>
    <w:p w:rsidR="0078734B" w:rsidRDefault="0078734B" w:rsidP="0078734B">
      <w:pPr>
        <w:pStyle w:val="TOC1"/>
        <w:tabs>
          <w:tab w:val="left" w:pos="396"/>
        </w:tabs>
        <w:spacing w:after="240"/>
        <w:rPr>
          <w:rFonts w:asciiTheme="minorHAnsi" w:eastAsiaTheme="minorEastAsia" w:hAnsiTheme="minorHAnsi" w:cstheme="minorBidi"/>
          <w:b w:val="0"/>
          <w:noProof/>
          <w:color w:val="auto"/>
          <w:sz w:val="24"/>
          <w:szCs w:val="24"/>
        </w:rPr>
      </w:pPr>
      <w:r w:rsidRPr="002E2C0D">
        <w:rPr>
          <w:noProof/>
          <w:lang w:val="en-GB"/>
        </w:rPr>
        <w:t>1</w:t>
      </w:r>
      <w:r>
        <w:rPr>
          <w:rFonts w:asciiTheme="minorHAnsi" w:eastAsiaTheme="minorEastAsia" w:hAnsiTheme="minorHAnsi" w:cstheme="minorBidi"/>
          <w:b w:val="0"/>
          <w:noProof/>
          <w:color w:val="auto"/>
          <w:sz w:val="24"/>
          <w:szCs w:val="24"/>
        </w:rPr>
        <w:tab/>
      </w:r>
      <w:r w:rsidRPr="002E2C0D">
        <w:rPr>
          <w:noProof/>
          <w:lang w:val="en-GB"/>
        </w:rPr>
        <w:t>Introduction</w:t>
      </w:r>
      <w:r>
        <w:rPr>
          <w:noProof/>
        </w:rPr>
        <w:tab/>
      </w:r>
      <w:r w:rsidR="00EA4FE5">
        <w:rPr>
          <w:noProof/>
        </w:rPr>
        <w:fldChar w:fldCharType="begin"/>
      </w:r>
      <w:r>
        <w:rPr>
          <w:noProof/>
        </w:rPr>
        <w:instrText xml:space="preserve"> PAGEREF _Toc251626628 \h </w:instrText>
      </w:r>
      <w:r w:rsidR="00024B34">
        <w:rPr>
          <w:noProof/>
        </w:rPr>
      </w:r>
      <w:r w:rsidR="00EA4FE5">
        <w:rPr>
          <w:noProof/>
        </w:rPr>
        <w:fldChar w:fldCharType="separate"/>
      </w:r>
      <w:r w:rsidR="00503F5D">
        <w:rPr>
          <w:noProof/>
        </w:rPr>
        <w:t>4</w:t>
      </w:r>
      <w:r w:rsidR="00EA4FE5">
        <w:rPr>
          <w:noProof/>
        </w:rPr>
        <w:fldChar w:fldCharType="end"/>
      </w:r>
    </w:p>
    <w:p w:rsidR="0078734B" w:rsidRDefault="0078734B" w:rsidP="0078734B">
      <w:pPr>
        <w:pStyle w:val="TOC1"/>
        <w:tabs>
          <w:tab w:val="left" w:pos="396"/>
        </w:tabs>
        <w:spacing w:after="240"/>
        <w:rPr>
          <w:rFonts w:asciiTheme="minorHAnsi" w:eastAsiaTheme="minorEastAsia" w:hAnsiTheme="minorHAnsi" w:cstheme="minorBidi"/>
          <w:b w:val="0"/>
          <w:noProof/>
          <w:color w:val="auto"/>
          <w:sz w:val="24"/>
          <w:szCs w:val="24"/>
        </w:rPr>
      </w:pPr>
      <w:r w:rsidRPr="002E2C0D">
        <w:rPr>
          <w:noProof/>
          <w:lang w:val="en-GB"/>
        </w:rPr>
        <w:t>2</w:t>
      </w:r>
      <w:r>
        <w:rPr>
          <w:rFonts w:asciiTheme="minorHAnsi" w:eastAsiaTheme="minorEastAsia" w:hAnsiTheme="minorHAnsi" w:cstheme="minorBidi"/>
          <w:b w:val="0"/>
          <w:noProof/>
          <w:color w:val="auto"/>
          <w:sz w:val="24"/>
          <w:szCs w:val="24"/>
        </w:rPr>
        <w:tab/>
      </w:r>
      <w:r w:rsidRPr="002E2C0D">
        <w:rPr>
          <w:noProof/>
          <w:lang w:val="en-GB"/>
        </w:rPr>
        <w:t>Data source</w:t>
      </w:r>
      <w:r>
        <w:rPr>
          <w:noProof/>
        </w:rPr>
        <w:tab/>
      </w:r>
      <w:r w:rsidR="00EA4FE5">
        <w:rPr>
          <w:noProof/>
        </w:rPr>
        <w:fldChar w:fldCharType="begin"/>
      </w:r>
      <w:r>
        <w:rPr>
          <w:noProof/>
        </w:rPr>
        <w:instrText xml:space="preserve"> PAGEREF _Toc251626629 \h </w:instrText>
      </w:r>
      <w:r w:rsidR="00024B34">
        <w:rPr>
          <w:noProof/>
        </w:rPr>
      </w:r>
      <w:r w:rsidR="00EA4FE5">
        <w:rPr>
          <w:noProof/>
        </w:rPr>
        <w:fldChar w:fldCharType="separate"/>
      </w:r>
      <w:r w:rsidR="00503F5D">
        <w:rPr>
          <w:noProof/>
        </w:rPr>
        <w:t>6</w:t>
      </w:r>
      <w:r w:rsidR="00EA4FE5">
        <w:rPr>
          <w:noProof/>
        </w:rPr>
        <w:fldChar w:fldCharType="end"/>
      </w:r>
    </w:p>
    <w:p w:rsidR="0078734B" w:rsidRDefault="0078734B" w:rsidP="0078734B">
      <w:pPr>
        <w:pStyle w:val="TOC1"/>
        <w:tabs>
          <w:tab w:val="left" w:pos="396"/>
        </w:tabs>
        <w:spacing w:after="240"/>
        <w:rPr>
          <w:rFonts w:asciiTheme="minorHAnsi" w:eastAsiaTheme="minorEastAsia" w:hAnsiTheme="minorHAnsi" w:cstheme="minorBidi"/>
          <w:b w:val="0"/>
          <w:noProof/>
          <w:color w:val="auto"/>
          <w:sz w:val="24"/>
          <w:szCs w:val="24"/>
        </w:rPr>
      </w:pPr>
      <w:r w:rsidRPr="002E2C0D">
        <w:rPr>
          <w:noProof/>
          <w:lang w:val="en-GB"/>
        </w:rPr>
        <w:t>3</w:t>
      </w:r>
      <w:r>
        <w:rPr>
          <w:rFonts w:asciiTheme="minorHAnsi" w:eastAsiaTheme="minorEastAsia" w:hAnsiTheme="minorHAnsi" w:cstheme="minorBidi"/>
          <w:b w:val="0"/>
          <w:noProof/>
          <w:color w:val="auto"/>
          <w:sz w:val="24"/>
          <w:szCs w:val="24"/>
        </w:rPr>
        <w:tab/>
      </w:r>
      <w:r w:rsidRPr="002E2C0D">
        <w:rPr>
          <w:noProof/>
          <w:lang w:val="en-GB"/>
        </w:rPr>
        <w:t>Development of Eco-Industries 2007-2011</w:t>
      </w:r>
      <w:r>
        <w:rPr>
          <w:noProof/>
        </w:rPr>
        <w:tab/>
      </w:r>
      <w:r w:rsidR="00EA4FE5">
        <w:rPr>
          <w:noProof/>
        </w:rPr>
        <w:fldChar w:fldCharType="begin"/>
      </w:r>
      <w:r>
        <w:rPr>
          <w:noProof/>
        </w:rPr>
        <w:instrText xml:space="preserve"> PAGEREF _Toc251626630 \h </w:instrText>
      </w:r>
      <w:r w:rsidR="00024B34">
        <w:rPr>
          <w:noProof/>
        </w:rPr>
      </w:r>
      <w:r w:rsidR="00EA4FE5">
        <w:rPr>
          <w:noProof/>
        </w:rPr>
        <w:fldChar w:fldCharType="separate"/>
      </w:r>
      <w:r w:rsidR="00503F5D">
        <w:rPr>
          <w:noProof/>
        </w:rPr>
        <w:t>8</w:t>
      </w:r>
      <w:r w:rsidR="00EA4FE5">
        <w:rPr>
          <w:noProof/>
        </w:rPr>
        <w:fldChar w:fldCharType="end"/>
      </w:r>
    </w:p>
    <w:p w:rsidR="0078734B" w:rsidRDefault="0078734B" w:rsidP="0078734B">
      <w:pPr>
        <w:pStyle w:val="TOC2"/>
        <w:tabs>
          <w:tab w:val="clear" w:pos="993"/>
          <w:tab w:val="left" w:pos="999"/>
        </w:tabs>
        <w:spacing w:after="240"/>
        <w:rPr>
          <w:rFonts w:asciiTheme="minorHAnsi" w:eastAsiaTheme="minorEastAsia" w:hAnsiTheme="minorHAnsi" w:cstheme="minorBidi"/>
          <w:b w:val="0"/>
          <w:noProof/>
          <w:szCs w:val="24"/>
        </w:rPr>
      </w:pPr>
      <w:r w:rsidRPr="002E2C0D">
        <w:rPr>
          <w:noProof/>
          <w:lang w:val="en-GB"/>
        </w:rPr>
        <w:t>3.1</w:t>
      </w:r>
      <w:r>
        <w:rPr>
          <w:rFonts w:asciiTheme="minorHAnsi" w:eastAsiaTheme="minorEastAsia" w:hAnsiTheme="minorHAnsi" w:cstheme="minorBidi"/>
          <w:b w:val="0"/>
          <w:noProof/>
          <w:szCs w:val="24"/>
        </w:rPr>
        <w:tab/>
      </w:r>
      <w:r w:rsidRPr="002E2C0D">
        <w:rPr>
          <w:noProof/>
          <w:lang w:val="en-GB"/>
        </w:rPr>
        <w:t>Turnover and growth of Eco-Industries</w:t>
      </w:r>
      <w:r>
        <w:rPr>
          <w:noProof/>
        </w:rPr>
        <w:tab/>
      </w:r>
      <w:r w:rsidR="00EA4FE5">
        <w:rPr>
          <w:noProof/>
        </w:rPr>
        <w:fldChar w:fldCharType="begin"/>
      </w:r>
      <w:r>
        <w:rPr>
          <w:noProof/>
        </w:rPr>
        <w:instrText xml:space="preserve"> PAGEREF _Toc251626631 \h </w:instrText>
      </w:r>
      <w:r w:rsidR="00024B34">
        <w:rPr>
          <w:noProof/>
        </w:rPr>
      </w:r>
      <w:r w:rsidR="00EA4FE5">
        <w:rPr>
          <w:noProof/>
        </w:rPr>
        <w:fldChar w:fldCharType="separate"/>
      </w:r>
      <w:r w:rsidR="00503F5D">
        <w:rPr>
          <w:noProof/>
        </w:rPr>
        <w:t>8</w:t>
      </w:r>
      <w:r w:rsidR="00EA4FE5">
        <w:rPr>
          <w:noProof/>
        </w:rPr>
        <w:fldChar w:fldCharType="end"/>
      </w:r>
    </w:p>
    <w:p w:rsidR="0078734B" w:rsidRDefault="0078734B" w:rsidP="0078734B">
      <w:pPr>
        <w:pStyle w:val="TOC2"/>
        <w:tabs>
          <w:tab w:val="clear" w:pos="993"/>
          <w:tab w:val="left" w:pos="999"/>
        </w:tabs>
        <w:spacing w:after="240"/>
        <w:rPr>
          <w:rFonts w:asciiTheme="minorHAnsi" w:eastAsiaTheme="minorEastAsia" w:hAnsiTheme="minorHAnsi" w:cstheme="minorBidi"/>
          <w:b w:val="0"/>
          <w:noProof/>
          <w:szCs w:val="24"/>
        </w:rPr>
      </w:pPr>
      <w:r w:rsidRPr="002E2C0D">
        <w:rPr>
          <w:noProof/>
          <w:lang w:val="en-GB"/>
        </w:rPr>
        <w:t>3.2</w:t>
      </w:r>
      <w:r>
        <w:rPr>
          <w:rFonts w:asciiTheme="minorHAnsi" w:eastAsiaTheme="minorEastAsia" w:hAnsiTheme="minorHAnsi" w:cstheme="minorBidi"/>
          <w:b w:val="0"/>
          <w:noProof/>
          <w:szCs w:val="24"/>
        </w:rPr>
        <w:tab/>
      </w:r>
      <w:r w:rsidRPr="002E2C0D">
        <w:rPr>
          <w:noProof/>
          <w:lang w:val="en-GB"/>
        </w:rPr>
        <w:t>Competitiveness and Resilience of Eco-Industries</w:t>
      </w:r>
      <w:r>
        <w:rPr>
          <w:noProof/>
        </w:rPr>
        <w:tab/>
      </w:r>
      <w:r w:rsidR="00EA4FE5">
        <w:rPr>
          <w:noProof/>
        </w:rPr>
        <w:fldChar w:fldCharType="begin"/>
      </w:r>
      <w:r>
        <w:rPr>
          <w:noProof/>
        </w:rPr>
        <w:instrText xml:space="preserve"> PAGEREF _Toc251626632 \h </w:instrText>
      </w:r>
      <w:r w:rsidR="00024B34">
        <w:rPr>
          <w:noProof/>
        </w:rPr>
      </w:r>
      <w:r w:rsidR="00EA4FE5">
        <w:rPr>
          <w:noProof/>
        </w:rPr>
        <w:fldChar w:fldCharType="separate"/>
      </w:r>
      <w:r w:rsidR="00503F5D">
        <w:rPr>
          <w:noProof/>
        </w:rPr>
        <w:t>10</w:t>
      </w:r>
      <w:r w:rsidR="00EA4FE5">
        <w:rPr>
          <w:noProof/>
        </w:rPr>
        <w:fldChar w:fldCharType="end"/>
      </w:r>
    </w:p>
    <w:p w:rsidR="0078734B" w:rsidRDefault="0078734B" w:rsidP="0078734B">
      <w:pPr>
        <w:pStyle w:val="TOC1"/>
        <w:tabs>
          <w:tab w:val="left" w:pos="396"/>
        </w:tabs>
        <w:spacing w:after="240"/>
        <w:rPr>
          <w:rFonts w:asciiTheme="minorHAnsi" w:eastAsiaTheme="minorEastAsia" w:hAnsiTheme="minorHAnsi" w:cstheme="minorBidi"/>
          <w:b w:val="0"/>
          <w:noProof/>
          <w:color w:val="auto"/>
          <w:sz w:val="24"/>
          <w:szCs w:val="24"/>
        </w:rPr>
      </w:pPr>
      <w:r w:rsidRPr="002E2C0D">
        <w:rPr>
          <w:noProof/>
          <w:lang w:val="en-GB"/>
        </w:rPr>
        <w:t>4</w:t>
      </w:r>
      <w:r>
        <w:rPr>
          <w:rFonts w:asciiTheme="minorHAnsi" w:eastAsiaTheme="minorEastAsia" w:hAnsiTheme="minorHAnsi" w:cstheme="minorBidi"/>
          <w:b w:val="0"/>
          <w:noProof/>
          <w:color w:val="auto"/>
          <w:sz w:val="24"/>
          <w:szCs w:val="24"/>
        </w:rPr>
        <w:tab/>
      </w:r>
      <w:r w:rsidRPr="002E2C0D">
        <w:rPr>
          <w:noProof/>
          <w:lang w:val="en-GB"/>
        </w:rPr>
        <w:t>Innovation in the Eco-Industries</w:t>
      </w:r>
      <w:r>
        <w:rPr>
          <w:noProof/>
        </w:rPr>
        <w:tab/>
      </w:r>
      <w:r w:rsidR="00EA4FE5">
        <w:rPr>
          <w:noProof/>
        </w:rPr>
        <w:fldChar w:fldCharType="begin"/>
      </w:r>
      <w:r>
        <w:rPr>
          <w:noProof/>
        </w:rPr>
        <w:instrText xml:space="preserve"> PAGEREF _Toc251626633 \h </w:instrText>
      </w:r>
      <w:r w:rsidR="00024B34">
        <w:rPr>
          <w:noProof/>
        </w:rPr>
      </w:r>
      <w:r w:rsidR="00EA4FE5">
        <w:rPr>
          <w:noProof/>
        </w:rPr>
        <w:fldChar w:fldCharType="separate"/>
      </w:r>
      <w:r w:rsidR="00503F5D">
        <w:rPr>
          <w:noProof/>
        </w:rPr>
        <w:t>12</w:t>
      </w:r>
      <w:r w:rsidR="00EA4FE5">
        <w:rPr>
          <w:noProof/>
        </w:rPr>
        <w:fldChar w:fldCharType="end"/>
      </w:r>
    </w:p>
    <w:p w:rsidR="0078734B" w:rsidRDefault="0078734B" w:rsidP="0078734B">
      <w:pPr>
        <w:pStyle w:val="TOC2"/>
        <w:tabs>
          <w:tab w:val="clear" w:pos="993"/>
          <w:tab w:val="left" w:pos="999"/>
        </w:tabs>
        <w:spacing w:after="240"/>
        <w:rPr>
          <w:rFonts w:asciiTheme="minorHAnsi" w:eastAsiaTheme="minorEastAsia" w:hAnsiTheme="minorHAnsi" w:cstheme="minorBidi"/>
          <w:b w:val="0"/>
          <w:noProof/>
          <w:szCs w:val="24"/>
        </w:rPr>
      </w:pPr>
      <w:r w:rsidRPr="002E2C0D">
        <w:rPr>
          <w:noProof/>
          <w:lang w:val="en-GB"/>
        </w:rPr>
        <w:t>4.1</w:t>
      </w:r>
      <w:r>
        <w:rPr>
          <w:rFonts w:asciiTheme="minorHAnsi" w:eastAsiaTheme="minorEastAsia" w:hAnsiTheme="minorHAnsi" w:cstheme="minorBidi"/>
          <w:b w:val="0"/>
          <w:noProof/>
          <w:szCs w:val="24"/>
        </w:rPr>
        <w:tab/>
      </w:r>
      <w:r w:rsidRPr="002E2C0D">
        <w:rPr>
          <w:noProof/>
          <w:lang w:val="en-GB"/>
        </w:rPr>
        <w:t>Patenting activity in environmental industries</w:t>
      </w:r>
      <w:r>
        <w:rPr>
          <w:noProof/>
        </w:rPr>
        <w:tab/>
      </w:r>
      <w:r w:rsidR="00EA4FE5">
        <w:rPr>
          <w:noProof/>
        </w:rPr>
        <w:fldChar w:fldCharType="begin"/>
      </w:r>
      <w:r>
        <w:rPr>
          <w:noProof/>
        </w:rPr>
        <w:instrText xml:space="preserve"> PAGEREF _Toc251626634 \h </w:instrText>
      </w:r>
      <w:r w:rsidR="00024B34">
        <w:rPr>
          <w:noProof/>
        </w:rPr>
      </w:r>
      <w:r w:rsidR="00EA4FE5">
        <w:rPr>
          <w:noProof/>
        </w:rPr>
        <w:fldChar w:fldCharType="separate"/>
      </w:r>
      <w:r w:rsidR="00503F5D">
        <w:rPr>
          <w:noProof/>
        </w:rPr>
        <w:t>12</w:t>
      </w:r>
      <w:r w:rsidR="00EA4FE5">
        <w:rPr>
          <w:noProof/>
        </w:rPr>
        <w:fldChar w:fldCharType="end"/>
      </w:r>
    </w:p>
    <w:p w:rsidR="0078734B" w:rsidRDefault="0078734B">
      <w:pPr>
        <w:pStyle w:val="TOC3"/>
        <w:tabs>
          <w:tab w:val="left" w:pos="1766"/>
        </w:tabs>
        <w:rPr>
          <w:rFonts w:asciiTheme="minorHAnsi" w:eastAsiaTheme="minorEastAsia" w:hAnsiTheme="minorHAnsi" w:cstheme="minorBidi"/>
          <w:noProof/>
          <w:szCs w:val="24"/>
        </w:rPr>
      </w:pPr>
      <w:r w:rsidRPr="002E2C0D">
        <w:rPr>
          <w:noProof/>
          <w:lang w:val="en-GB"/>
        </w:rPr>
        <w:t>4.1.1</w:t>
      </w:r>
      <w:r>
        <w:rPr>
          <w:rFonts w:asciiTheme="minorHAnsi" w:eastAsiaTheme="minorEastAsia" w:hAnsiTheme="minorHAnsi" w:cstheme="minorBidi"/>
          <w:noProof/>
          <w:szCs w:val="24"/>
        </w:rPr>
        <w:tab/>
      </w:r>
      <w:r w:rsidRPr="002E2C0D">
        <w:rPr>
          <w:noProof/>
          <w:lang w:val="en-GB"/>
        </w:rPr>
        <w:t>Patenting activity in environmental industries across countries</w:t>
      </w:r>
      <w:r>
        <w:rPr>
          <w:noProof/>
        </w:rPr>
        <w:tab/>
      </w:r>
      <w:r w:rsidR="00EA4FE5">
        <w:rPr>
          <w:noProof/>
        </w:rPr>
        <w:fldChar w:fldCharType="begin"/>
      </w:r>
      <w:r>
        <w:rPr>
          <w:noProof/>
        </w:rPr>
        <w:instrText xml:space="preserve"> PAGEREF _Toc251626635 \h </w:instrText>
      </w:r>
      <w:r w:rsidR="00024B34">
        <w:rPr>
          <w:noProof/>
        </w:rPr>
      </w:r>
      <w:r w:rsidR="00EA4FE5">
        <w:rPr>
          <w:noProof/>
        </w:rPr>
        <w:fldChar w:fldCharType="separate"/>
      </w:r>
      <w:r w:rsidR="00503F5D">
        <w:rPr>
          <w:noProof/>
        </w:rPr>
        <w:t>12</w:t>
      </w:r>
      <w:r w:rsidR="00EA4FE5">
        <w:rPr>
          <w:noProof/>
        </w:rPr>
        <w:fldChar w:fldCharType="end"/>
      </w:r>
    </w:p>
    <w:p w:rsidR="0078734B" w:rsidRDefault="0078734B">
      <w:pPr>
        <w:pStyle w:val="TOC3"/>
        <w:tabs>
          <w:tab w:val="left" w:pos="1766"/>
        </w:tabs>
        <w:rPr>
          <w:rFonts w:asciiTheme="minorHAnsi" w:eastAsiaTheme="minorEastAsia" w:hAnsiTheme="minorHAnsi" w:cstheme="minorBidi"/>
          <w:noProof/>
          <w:szCs w:val="24"/>
        </w:rPr>
      </w:pPr>
      <w:r w:rsidRPr="002E2C0D">
        <w:rPr>
          <w:noProof/>
          <w:lang w:val="en-GB"/>
        </w:rPr>
        <w:t>4.1.2</w:t>
      </w:r>
      <w:r>
        <w:rPr>
          <w:rFonts w:asciiTheme="minorHAnsi" w:eastAsiaTheme="minorEastAsia" w:hAnsiTheme="minorHAnsi" w:cstheme="minorBidi"/>
          <w:noProof/>
          <w:szCs w:val="24"/>
        </w:rPr>
        <w:tab/>
      </w:r>
      <w:r w:rsidRPr="002E2C0D">
        <w:rPr>
          <w:noProof/>
          <w:lang w:val="en-GB"/>
        </w:rPr>
        <w:t>Patenting activity for selected environment-related technologies</w:t>
      </w:r>
      <w:r>
        <w:rPr>
          <w:noProof/>
        </w:rPr>
        <w:tab/>
      </w:r>
      <w:r w:rsidR="00EA4FE5">
        <w:rPr>
          <w:noProof/>
        </w:rPr>
        <w:fldChar w:fldCharType="begin"/>
      </w:r>
      <w:r>
        <w:rPr>
          <w:noProof/>
        </w:rPr>
        <w:instrText xml:space="preserve"> PAGEREF _Toc251626636 \h </w:instrText>
      </w:r>
      <w:r w:rsidR="00024B34">
        <w:rPr>
          <w:noProof/>
        </w:rPr>
      </w:r>
      <w:r w:rsidR="00EA4FE5">
        <w:rPr>
          <w:noProof/>
        </w:rPr>
        <w:fldChar w:fldCharType="separate"/>
      </w:r>
      <w:r w:rsidR="00503F5D">
        <w:rPr>
          <w:noProof/>
        </w:rPr>
        <w:t>14</w:t>
      </w:r>
      <w:r w:rsidR="00EA4FE5">
        <w:rPr>
          <w:noProof/>
        </w:rPr>
        <w:fldChar w:fldCharType="end"/>
      </w:r>
    </w:p>
    <w:p w:rsidR="0078734B" w:rsidRDefault="0078734B">
      <w:pPr>
        <w:pStyle w:val="TOC3"/>
        <w:tabs>
          <w:tab w:val="left" w:pos="1766"/>
        </w:tabs>
        <w:rPr>
          <w:rFonts w:asciiTheme="minorHAnsi" w:eastAsiaTheme="minorEastAsia" w:hAnsiTheme="minorHAnsi" w:cstheme="minorBidi"/>
          <w:noProof/>
          <w:szCs w:val="24"/>
        </w:rPr>
      </w:pPr>
      <w:r w:rsidRPr="002E2C0D">
        <w:rPr>
          <w:noProof/>
          <w:lang w:val="en-GB"/>
        </w:rPr>
        <w:t>4.1.3</w:t>
      </w:r>
      <w:r>
        <w:rPr>
          <w:rFonts w:asciiTheme="minorHAnsi" w:eastAsiaTheme="minorEastAsia" w:hAnsiTheme="minorHAnsi" w:cstheme="minorBidi"/>
          <w:noProof/>
          <w:szCs w:val="24"/>
        </w:rPr>
        <w:tab/>
      </w:r>
      <w:r w:rsidRPr="002E2C0D">
        <w:rPr>
          <w:noProof/>
          <w:lang w:val="en-GB"/>
        </w:rPr>
        <w:t>Patenting activity in Europe compared to the US and China</w:t>
      </w:r>
      <w:r>
        <w:rPr>
          <w:noProof/>
        </w:rPr>
        <w:tab/>
      </w:r>
      <w:r w:rsidR="00EA4FE5">
        <w:rPr>
          <w:noProof/>
        </w:rPr>
        <w:fldChar w:fldCharType="begin"/>
      </w:r>
      <w:r>
        <w:rPr>
          <w:noProof/>
        </w:rPr>
        <w:instrText xml:space="preserve"> PAGEREF _Toc251626637 \h </w:instrText>
      </w:r>
      <w:r w:rsidR="00024B34">
        <w:rPr>
          <w:noProof/>
        </w:rPr>
      </w:r>
      <w:r w:rsidR="00EA4FE5">
        <w:rPr>
          <w:noProof/>
        </w:rPr>
        <w:fldChar w:fldCharType="separate"/>
      </w:r>
      <w:r w:rsidR="00503F5D">
        <w:rPr>
          <w:noProof/>
        </w:rPr>
        <w:t>15</w:t>
      </w:r>
      <w:r w:rsidR="00EA4FE5">
        <w:rPr>
          <w:noProof/>
        </w:rPr>
        <w:fldChar w:fldCharType="end"/>
      </w:r>
    </w:p>
    <w:p w:rsidR="0078734B" w:rsidRDefault="0078734B" w:rsidP="0078734B">
      <w:pPr>
        <w:pStyle w:val="TOC2"/>
        <w:tabs>
          <w:tab w:val="clear" w:pos="993"/>
          <w:tab w:val="left" w:pos="999"/>
        </w:tabs>
        <w:spacing w:after="240"/>
        <w:rPr>
          <w:rFonts w:asciiTheme="minorHAnsi" w:eastAsiaTheme="minorEastAsia" w:hAnsiTheme="minorHAnsi" w:cstheme="minorBidi"/>
          <w:b w:val="0"/>
          <w:noProof/>
          <w:szCs w:val="24"/>
        </w:rPr>
      </w:pPr>
      <w:r w:rsidRPr="002E2C0D">
        <w:rPr>
          <w:noProof/>
          <w:lang w:val="en-GB"/>
        </w:rPr>
        <w:t>4.2</w:t>
      </w:r>
      <w:r>
        <w:rPr>
          <w:rFonts w:asciiTheme="minorHAnsi" w:eastAsiaTheme="minorEastAsia" w:hAnsiTheme="minorHAnsi" w:cstheme="minorBidi"/>
          <w:b w:val="0"/>
          <w:noProof/>
          <w:szCs w:val="24"/>
        </w:rPr>
        <w:tab/>
      </w:r>
      <w:r w:rsidRPr="002E2C0D">
        <w:rPr>
          <w:noProof/>
          <w:lang w:val="en-GB"/>
        </w:rPr>
        <w:t>Public funding for environmental research</w:t>
      </w:r>
      <w:r>
        <w:rPr>
          <w:noProof/>
        </w:rPr>
        <w:tab/>
      </w:r>
      <w:r w:rsidR="00EA4FE5">
        <w:rPr>
          <w:noProof/>
        </w:rPr>
        <w:fldChar w:fldCharType="begin"/>
      </w:r>
      <w:r>
        <w:rPr>
          <w:noProof/>
        </w:rPr>
        <w:instrText xml:space="preserve"> PAGEREF _Toc251626638 \h </w:instrText>
      </w:r>
      <w:r w:rsidR="00024B34">
        <w:rPr>
          <w:noProof/>
        </w:rPr>
      </w:r>
      <w:r w:rsidR="00EA4FE5">
        <w:rPr>
          <w:noProof/>
        </w:rPr>
        <w:fldChar w:fldCharType="separate"/>
      </w:r>
      <w:r w:rsidR="00503F5D">
        <w:rPr>
          <w:noProof/>
        </w:rPr>
        <w:t>19</w:t>
      </w:r>
      <w:r w:rsidR="00EA4FE5">
        <w:rPr>
          <w:noProof/>
        </w:rPr>
        <w:fldChar w:fldCharType="end"/>
      </w:r>
    </w:p>
    <w:p w:rsidR="0078734B" w:rsidRDefault="0078734B" w:rsidP="0078734B">
      <w:pPr>
        <w:pStyle w:val="TOC1"/>
        <w:tabs>
          <w:tab w:val="left" w:pos="396"/>
        </w:tabs>
        <w:spacing w:after="240"/>
        <w:rPr>
          <w:rFonts w:asciiTheme="minorHAnsi" w:eastAsiaTheme="minorEastAsia" w:hAnsiTheme="minorHAnsi" w:cstheme="minorBidi"/>
          <w:b w:val="0"/>
          <w:noProof/>
          <w:color w:val="auto"/>
          <w:sz w:val="24"/>
          <w:szCs w:val="24"/>
        </w:rPr>
      </w:pPr>
      <w:r w:rsidRPr="002E2C0D">
        <w:rPr>
          <w:noProof/>
          <w:lang w:val="en-GB"/>
        </w:rPr>
        <w:t>5</w:t>
      </w:r>
      <w:r>
        <w:rPr>
          <w:rFonts w:asciiTheme="minorHAnsi" w:eastAsiaTheme="minorEastAsia" w:hAnsiTheme="minorHAnsi" w:cstheme="minorBidi"/>
          <w:b w:val="0"/>
          <w:noProof/>
          <w:color w:val="auto"/>
          <w:sz w:val="24"/>
          <w:szCs w:val="24"/>
        </w:rPr>
        <w:tab/>
      </w:r>
      <w:r w:rsidRPr="002E2C0D">
        <w:rPr>
          <w:noProof/>
          <w:lang w:val="en-GB"/>
        </w:rPr>
        <w:t>Country Briefs</w:t>
      </w:r>
      <w:r>
        <w:rPr>
          <w:noProof/>
        </w:rPr>
        <w:tab/>
      </w:r>
      <w:r w:rsidR="00EA4FE5">
        <w:rPr>
          <w:noProof/>
        </w:rPr>
        <w:fldChar w:fldCharType="begin"/>
      </w:r>
      <w:r>
        <w:rPr>
          <w:noProof/>
        </w:rPr>
        <w:instrText xml:space="preserve"> PAGEREF _Toc251626639 \h </w:instrText>
      </w:r>
      <w:r w:rsidR="00024B34">
        <w:rPr>
          <w:noProof/>
        </w:rPr>
      </w:r>
      <w:r w:rsidR="00EA4FE5">
        <w:rPr>
          <w:noProof/>
        </w:rPr>
        <w:fldChar w:fldCharType="separate"/>
      </w:r>
      <w:r w:rsidR="00503F5D">
        <w:rPr>
          <w:noProof/>
        </w:rPr>
        <w:t>20</w:t>
      </w:r>
      <w:r w:rsidR="00EA4FE5">
        <w:rPr>
          <w:noProof/>
        </w:rPr>
        <w:fldChar w:fldCharType="end"/>
      </w:r>
    </w:p>
    <w:p w:rsidR="0078734B" w:rsidRDefault="0078734B" w:rsidP="0078734B">
      <w:pPr>
        <w:pStyle w:val="TOC2"/>
        <w:tabs>
          <w:tab w:val="clear" w:pos="993"/>
          <w:tab w:val="left" w:pos="999"/>
        </w:tabs>
        <w:spacing w:after="240"/>
        <w:rPr>
          <w:rFonts w:asciiTheme="minorHAnsi" w:eastAsiaTheme="minorEastAsia" w:hAnsiTheme="minorHAnsi" w:cstheme="minorBidi"/>
          <w:b w:val="0"/>
          <w:noProof/>
          <w:szCs w:val="24"/>
        </w:rPr>
      </w:pPr>
      <w:r w:rsidRPr="002E2C0D">
        <w:rPr>
          <w:noProof/>
          <w:lang w:val="en-GB"/>
        </w:rPr>
        <w:t>5.1</w:t>
      </w:r>
      <w:r>
        <w:rPr>
          <w:rFonts w:asciiTheme="minorHAnsi" w:eastAsiaTheme="minorEastAsia" w:hAnsiTheme="minorHAnsi" w:cstheme="minorBidi"/>
          <w:b w:val="0"/>
          <w:noProof/>
          <w:szCs w:val="24"/>
        </w:rPr>
        <w:tab/>
      </w:r>
      <w:r w:rsidRPr="002E2C0D">
        <w:rPr>
          <w:noProof/>
          <w:lang w:val="en-GB"/>
        </w:rPr>
        <w:t>European countries</w:t>
      </w:r>
      <w:r>
        <w:rPr>
          <w:noProof/>
        </w:rPr>
        <w:tab/>
      </w:r>
      <w:r w:rsidR="00EA4FE5">
        <w:rPr>
          <w:noProof/>
        </w:rPr>
        <w:fldChar w:fldCharType="begin"/>
      </w:r>
      <w:r>
        <w:rPr>
          <w:noProof/>
        </w:rPr>
        <w:instrText xml:space="preserve"> PAGEREF _Toc251626640 \h </w:instrText>
      </w:r>
      <w:r w:rsidR="00024B34">
        <w:rPr>
          <w:noProof/>
        </w:rPr>
      </w:r>
      <w:r w:rsidR="00EA4FE5">
        <w:rPr>
          <w:noProof/>
        </w:rPr>
        <w:fldChar w:fldCharType="separate"/>
      </w:r>
      <w:r w:rsidR="00503F5D">
        <w:rPr>
          <w:noProof/>
        </w:rPr>
        <w:t>20</w:t>
      </w:r>
      <w:r w:rsidR="00EA4FE5">
        <w:rPr>
          <w:noProof/>
        </w:rPr>
        <w:fldChar w:fldCharType="end"/>
      </w:r>
    </w:p>
    <w:p w:rsidR="0078734B" w:rsidRDefault="0078734B" w:rsidP="0078734B">
      <w:pPr>
        <w:pStyle w:val="TOC3"/>
        <w:tabs>
          <w:tab w:val="left" w:pos="1766"/>
        </w:tabs>
        <w:spacing w:before="0" w:beforeAutospacing="0" w:after="200" w:afterAutospacing="0"/>
        <w:rPr>
          <w:rFonts w:asciiTheme="minorHAnsi" w:eastAsiaTheme="minorEastAsia" w:hAnsiTheme="minorHAnsi" w:cstheme="minorBidi"/>
          <w:noProof/>
          <w:szCs w:val="24"/>
        </w:rPr>
      </w:pPr>
      <w:r w:rsidRPr="002E2C0D">
        <w:rPr>
          <w:noProof/>
          <w:lang w:val="en-GB"/>
        </w:rPr>
        <w:t>5.1.1</w:t>
      </w:r>
      <w:r>
        <w:rPr>
          <w:rFonts w:asciiTheme="minorHAnsi" w:eastAsiaTheme="minorEastAsia" w:hAnsiTheme="minorHAnsi" w:cstheme="minorBidi"/>
          <w:noProof/>
          <w:szCs w:val="24"/>
        </w:rPr>
        <w:tab/>
      </w:r>
      <w:r w:rsidRPr="002E2C0D">
        <w:rPr>
          <w:noProof/>
          <w:lang w:val="en-GB"/>
        </w:rPr>
        <w:t>Germany</w:t>
      </w:r>
      <w:r>
        <w:rPr>
          <w:noProof/>
        </w:rPr>
        <w:tab/>
      </w:r>
      <w:r>
        <w:rPr>
          <w:noProof/>
        </w:rPr>
        <w:tab/>
      </w:r>
      <w:r w:rsidR="00EA4FE5">
        <w:rPr>
          <w:noProof/>
        </w:rPr>
        <w:fldChar w:fldCharType="begin"/>
      </w:r>
      <w:r>
        <w:rPr>
          <w:noProof/>
        </w:rPr>
        <w:instrText xml:space="preserve"> PAGEREF _Toc251626641 \h </w:instrText>
      </w:r>
      <w:r w:rsidR="00024B34">
        <w:rPr>
          <w:noProof/>
        </w:rPr>
      </w:r>
      <w:r w:rsidR="00EA4FE5">
        <w:rPr>
          <w:noProof/>
        </w:rPr>
        <w:fldChar w:fldCharType="separate"/>
      </w:r>
      <w:r w:rsidR="00503F5D">
        <w:rPr>
          <w:noProof/>
        </w:rPr>
        <w:t>20</w:t>
      </w:r>
      <w:r w:rsidR="00EA4FE5">
        <w:rPr>
          <w:noProof/>
        </w:rPr>
        <w:fldChar w:fldCharType="end"/>
      </w:r>
    </w:p>
    <w:p w:rsidR="0078734B" w:rsidRDefault="0078734B" w:rsidP="0078734B">
      <w:pPr>
        <w:pStyle w:val="TOC3"/>
        <w:tabs>
          <w:tab w:val="left" w:pos="1766"/>
        </w:tabs>
        <w:spacing w:before="0" w:beforeAutospacing="0" w:after="200" w:afterAutospacing="0"/>
        <w:rPr>
          <w:rFonts w:asciiTheme="minorHAnsi" w:eastAsiaTheme="minorEastAsia" w:hAnsiTheme="minorHAnsi" w:cstheme="minorBidi"/>
          <w:noProof/>
          <w:szCs w:val="24"/>
        </w:rPr>
      </w:pPr>
      <w:r w:rsidRPr="002E2C0D">
        <w:rPr>
          <w:noProof/>
          <w:lang w:val="en-GB"/>
        </w:rPr>
        <w:t>5.1.2</w:t>
      </w:r>
      <w:r>
        <w:rPr>
          <w:rFonts w:asciiTheme="minorHAnsi" w:eastAsiaTheme="minorEastAsia" w:hAnsiTheme="minorHAnsi" w:cstheme="minorBidi"/>
          <w:noProof/>
          <w:szCs w:val="24"/>
        </w:rPr>
        <w:tab/>
      </w:r>
      <w:r w:rsidRPr="002E2C0D">
        <w:rPr>
          <w:noProof/>
          <w:lang w:val="en-GB"/>
        </w:rPr>
        <w:t>Italy</w:t>
      </w:r>
      <w:r>
        <w:rPr>
          <w:noProof/>
        </w:rPr>
        <w:tab/>
      </w:r>
      <w:r>
        <w:rPr>
          <w:noProof/>
        </w:rPr>
        <w:tab/>
      </w:r>
      <w:r w:rsidR="00EA4FE5">
        <w:rPr>
          <w:noProof/>
        </w:rPr>
        <w:fldChar w:fldCharType="begin"/>
      </w:r>
      <w:r>
        <w:rPr>
          <w:noProof/>
        </w:rPr>
        <w:instrText xml:space="preserve"> PAGEREF _Toc251626642 \h </w:instrText>
      </w:r>
      <w:r w:rsidR="00024B34">
        <w:rPr>
          <w:noProof/>
        </w:rPr>
      </w:r>
      <w:r w:rsidR="00EA4FE5">
        <w:rPr>
          <w:noProof/>
        </w:rPr>
        <w:fldChar w:fldCharType="separate"/>
      </w:r>
      <w:r w:rsidR="00503F5D">
        <w:rPr>
          <w:noProof/>
        </w:rPr>
        <w:t>22</w:t>
      </w:r>
      <w:r w:rsidR="00EA4FE5">
        <w:rPr>
          <w:noProof/>
        </w:rPr>
        <w:fldChar w:fldCharType="end"/>
      </w:r>
    </w:p>
    <w:p w:rsidR="0078734B" w:rsidRDefault="0078734B" w:rsidP="0078734B">
      <w:pPr>
        <w:pStyle w:val="TOC3"/>
        <w:tabs>
          <w:tab w:val="left" w:pos="1766"/>
        </w:tabs>
        <w:spacing w:before="0" w:beforeAutospacing="0" w:after="200" w:afterAutospacing="0"/>
        <w:rPr>
          <w:rFonts w:asciiTheme="minorHAnsi" w:eastAsiaTheme="minorEastAsia" w:hAnsiTheme="minorHAnsi" w:cstheme="minorBidi"/>
          <w:noProof/>
          <w:szCs w:val="24"/>
        </w:rPr>
      </w:pPr>
      <w:r w:rsidRPr="002E2C0D">
        <w:rPr>
          <w:noProof/>
          <w:lang w:val="en-GB"/>
        </w:rPr>
        <w:t>5.1.3</w:t>
      </w:r>
      <w:r>
        <w:rPr>
          <w:rFonts w:asciiTheme="minorHAnsi" w:eastAsiaTheme="minorEastAsia" w:hAnsiTheme="minorHAnsi" w:cstheme="minorBidi"/>
          <w:noProof/>
          <w:szCs w:val="24"/>
        </w:rPr>
        <w:tab/>
      </w:r>
      <w:r w:rsidRPr="002E2C0D">
        <w:rPr>
          <w:noProof/>
          <w:lang w:val="en-GB"/>
        </w:rPr>
        <w:t>Poland</w:t>
      </w:r>
      <w:r>
        <w:rPr>
          <w:noProof/>
        </w:rPr>
        <w:tab/>
      </w:r>
      <w:r>
        <w:rPr>
          <w:noProof/>
        </w:rPr>
        <w:tab/>
      </w:r>
      <w:r w:rsidR="00EA4FE5">
        <w:rPr>
          <w:noProof/>
        </w:rPr>
        <w:fldChar w:fldCharType="begin"/>
      </w:r>
      <w:r>
        <w:rPr>
          <w:noProof/>
        </w:rPr>
        <w:instrText xml:space="preserve"> PAGEREF _Toc251626643 \h </w:instrText>
      </w:r>
      <w:r w:rsidR="00024B34">
        <w:rPr>
          <w:noProof/>
        </w:rPr>
      </w:r>
      <w:r w:rsidR="00EA4FE5">
        <w:rPr>
          <w:noProof/>
        </w:rPr>
        <w:fldChar w:fldCharType="separate"/>
      </w:r>
      <w:r w:rsidR="00503F5D">
        <w:rPr>
          <w:noProof/>
        </w:rPr>
        <w:t>24</w:t>
      </w:r>
      <w:r w:rsidR="00EA4FE5">
        <w:rPr>
          <w:noProof/>
        </w:rPr>
        <w:fldChar w:fldCharType="end"/>
      </w:r>
    </w:p>
    <w:p w:rsidR="0078734B" w:rsidRDefault="0078734B" w:rsidP="0078734B">
      <w:pPr>
        <w:pStyle w:val="TOC3"/>
        <w:tabs>
          <w:tab w:val="left" w:pos="1766"/>
        </w:tabs>
        <w:spacing w:before="0" w:beforeAutospacing="0" w:after="200" w:afterAutospacing="0"/>
        <w:rPr>
          <w:rFonts w:asciiTheme="minorHAnsi" w:eastAsiaTheme="minorEastAsia" w:hAnsiTheme="minorHAnsi" w:cstheme="minorBidi"/>
          <w:noProof/>
          <w:szCs w:val="24"/>
        </w:rPr>
      </w:pPr>
      <w:r w:rsidRPr="002E2C0D">
        <w:rPr>
          <w:noProof/>
          <w:lang w:val="en-GB"/>
        </w:rPr>
        <w:t>5.1.4</w:t>
      </w:r>
      <w:r>
        <w:rPr>
          <w:rFonts w:asciiTheme="minorHAnsi" w:eastAsiaTheme="minorEastAsia" w:hAnsiTheme="minorHAnsi" w:cstheme="minorBidi"/>
          <w:noProof/>
          <w:szCs w:val="24"/>
        </w:rPr>
        <w:tab/>
      </w:r>
      <w:r w:rsidRPr="002E2C0D">
        <w:rPr>
          <w:noProof/>
          <w:lang w:val="en-GB"/>
        </w:rPr>
        <w:t>Portugal</w:t>
      </w:r>
      <w:r>
        <w:rPr>
          <w:noProof/>
        </w:rPr>
        <w:tab/>
      </w:r>
      <w:r>
        <w:rPr>
          <w:noProof/>
        </w:rPr>
        <w:tab/>
      </w:r>
      <w:r w:rsidR="00EA4FE5">
        <w:rPr>
          <w:noProof/>
        </w:rPr>
        <w:fldChar w:fldCharType="begin"/>
      </w:r>
      <w:r>
        <w:rPr>
          <w:noProof/>
        </w:rPr>
        <w:instrText xml:space="preserve"> PAGEREF _Toc251626644 \h </w:instrText>
      </w:r>
      <w:r w:rsidR="00024B34">
        <w:rPr>
          <w:noProof/>
        </w:rPr>
      </w:r>
      <w:r w:rsidR="00EA4FE5">
        <w:rPr>
          <w:noProof/>
        </w:rPr>
        <w:fldChar w:fldCharType="separate"/>
      </w:r>
      <w:r w:rsidR="00503F5D">
        <w:rPr>
          <w:noProof/>
        </w:rPr>
        <w:t>26</w:t>
      </w:r>
      <w:r w:rsidR="00EA4FE5">
        <w:rPr>
          <w:noProof/>
        </w:rPr>
        <w:fldChar w:fldCharType="end"/>
      </w:r>
    </w:p>
    <w:p w:rsidR="0078734B" w:rsidRDefault="0078734B" w:rsidP="0078734B">
      <w:pPr>
        <w:pStyle w:val="TOC3"/>
        <w:tabs>
          <w:tab w:val="left" w:pos="1766"/>
        </w:tabs>
        <w:spacing w:before="0" w:beforeAutospacing="0" w:after="200" w:afterAutospacing="0"/>
        <w:rPr>
          <w:rFonts w:asciiTheme="minorHAnsi" w:eastAsiaTheme="minorEastAsia" w:hAnsiTheme="minorHAnsi" w:cstheme="minorBidi"/>
          <w:noProof/>
          <w:szCs w:val="24"/>
        </w:rPr>
      </w:pPr>
      <w:r w:rsidRPr="002E2C0D">
        <w:rPr>
          <w:noProof/>
          <w:lang w:val="en-GB"/>
        </w:rPr>
        <w:t>5.1.5</w:t>
      </w:r>
      <w:r>
        <w:rPr>
          <w:rFonts w:asciiTheme="minorHAnsi" w:eastAsiaTheme="minorEastAsia" w:hAnsiTheme="minorHAnsi" w:cstheme="minorBidi"/>
          <w:noProof/>
          <w:szCs w:val="24"/>
        </w:rPr>
        <w:tab/>
      </w:r>
      <w:r w:rsidRPr="002E2C0D">
        <w:rPr>
          <w:noProof/>
          <w:lang w:val="en-GB"/>
        </w:rPr>
        <w:t>UK</w:t>
      </w:r>
      <w:r>
        <w:rPr>
          <w:noProof/>
        </w:rPr>
        <w:tab/>
      </w:r>
      <w:r>
        <w:rPr>
          <w:noProof/>
        </w:rPr>
        <w:tab/>
      </w:r>
      <w:r w:rsidR="00EA4FE5">
        <w:rPr>
          <w:noProof/>
        </w:rPr>
        <w:fldChar w:fldCharType="begin"/>
      </w:r>
      <w:r>
        <w:rPr>
          <w:noProof/>
        </w:rPr>
        <w:instrText xml:space="preserve"> PAGEREF _Toc251626645 \h </w:instrText>
      </w:r>
      <w:r w:rsidR="00024B34">
        <w:rPr>
          <w:noProof/>
        </w:rPr>
      </w:r>
      <w:r w:rsidR="00EA4FE5">
        <w:rPr>
          <w:noProof/>
        </w:rPr>
        <w:fldChar w:fldCharType="separate"/>
      </w:r>
      <w:r w:rsidR="00503F5D">
        <w:rPr>
          <w:noProof/>
        </w:rPr>
        <w:t>27</w:t>
      </w:r>
      <w:r w:rsidR="00EA4FE5">
        <w:rPr>
          <w:noProof/>
        </w:rPr>
        <w:fldChar w:fldCharType="end"/>
      </w:r>
    </w:p>
    <w:p w:rsidR="0078734B" w:rsidRDefault="0078734B" w:rsidP="0078734B">
      <w:pPr>
        <w:pStyle w:val="TOC2"/>
        <w:tabs>
          <w:tab w:val="clear" w:pos="993"/>
          <w:tab w:val="left" w:pos="999"/>
        </w:tabs>
        <w:spacing w:after="240"/>
        <w:rPr>
          <w:rFonts w:asciiTheme="minorHAnsi" w:eastAsiaTheme="minorEastAsia" w:hAnsiTheme="minorHAnsi" w:cstheme="minorBidi"/>
          <w:b w:val="0"/>
          <w:noProof/>
          <w:szCs w:val="24"/>
        </w:rPr>
      </w:pPr>
      <w:r w:rsidRPr="002E2C0D">
        <w:rPr>
          <w:noProof/>
          <w:lang w:val="en-GB"/>
        </w:rPr>
        <w:t>5.2</w:t>
      </w:r>
      <w:r>
        <w:rPr>
          <w:rFonts w:asciiTheme="minorHAnsi" w:eastAsiaTheme="minorEastAsia" w:hAnsiTheme="minorHAnsi" w:cstheme="minorBidi"/>
          <w:b w:val="0"/>
          <w:noProof/>
          <w:szCs w:val="24"/>
        </w:rPr>
        <w:tab/>
      </w:r>
      <w:r w:rsidRPr="002E2C0D">
        <w:rPr>
          <w:noProof/>
          <w:lang w:val="en-GB"/>
        </w:rPr>
        <w:t>Non-European countries</w:t>
      </w:r>
      <w:r>
        <w:rPr>
          <w:noProof/>
        </w:rPr>
        <w:tab/>
      </w:r>
      <w:r w:rsidR="00EA4FE5">
        <w:rPr>
          <w:noProof/>
        </w:rPr>
        <w:fldChar w:fldCharType="begin"/>
      </w:r>
      <w:r>
        <w:rPr>
          <w:noProof/>
        </w:rPr>
        <w:instrText xml:space="preserve"> PAGEREF _Toc251626646 \h </w:instrText>
      </w:r>
      <w:r w:rsidR="00024B34">
        <w:rPr>
          <w:noProof/>
        </w:rPr>
      </w:r>
      <w:r w:rsidR="00EA4FE5">
        <w:rPr>
          <w:noProof/>
        </w:rPr>
        <w:fldChar w:fldCharType="separate"/>
      </w:r>
      <w:r w:rsidR="00503F5D">
        <w:rPr>
          <w:noProof/>
        </w:rPr>
        <w:t>30</w:t>
      </w:r>
      <w:r w:rsidR="00EA4FE5">
        <w:rPr>
          <w:noProof/>
        </w:rPr>
        <w:fldChar w:fldCharType="end"/>
      </w:r>
    </w:p>
    <w:p w:rsidR="0078734B" w:rsidRPr="0078734B" w:rsidRDefault="0078734B" w:rsidP="0078734B">
      <w:pPr>
        <w:pStyle w:val="TOC3"/>
        <w:tabs>
          <w:tab w:val="left" w:pos="1766"/>
        </w:tabs>
        <w:spacing w:before="0" w:beforeAutospacing="0" w:after="200" w:afterAutospacing="0"/>
        <w:rPr>
          <w:noProof/>
          <w:lang w:val="en-GB"/>
        </w:rPr>
      </w:pPr>
      <w:r w:rsidRPr="002E2C0D">
        <w:rPr>
          <w:noProof/>
          <w:lang w:val="en-GB"/>
        </w:rPr>
        <w:t>5.2.1</w:t>
      </w:r>
      <w:r w:rsidRPr="0078734B">
        <w:rPr>
          <w:noProof/>
          <w:lang w:val="en-GB"/>
        </w:rPr>
        <w:tab/>
      </w:r>
      <w:r w:rsidRPr="002E2C0D">
        <w:rPr>
          <w:noProof/>
          <w:lang w:val="en-GB"/>
        </w:rPr>
        <w:t>China</w:t>
      </w:r>
      <w:r w:rsidRPr="0078734B">
        <w:rPr>
          <w:noProof/>
          <w:lang w:val="en-GB"/>
        </w:rPr>
        <w:tab/>
      </w:r>
      <w:r w:rsidRPr="0078734B">
        <w:rPr>
          <w:noProof/>
          <w:lang w:val="en-GB"/>
        </w:rPr>
        <w:tab/>
      </w:r>
      <w:r w:rsidR="00EA4FE5" w:rsidRPr="0078734B">
        <w:rPr>
          <w:noProof/>
          <w:lang w:val="en-GB"/>
        </w:rPr>
        <w:fldChar w:fldCharType="begin"/>
      </w:r>
      <w:r w:rsidRPr="0078734B">
        <w:rPr>
          <w:noProof/>
          <w:lang w:val="en-GB"/>
        </w:rPr>
        <w:instrText xml:space="preserve"> PAGEREF _Toc251626647 \h </w:instrText>
      </w:r>
      <w:r w:rsidR="00024B34" w:rsidRPr="00EA4FE5">
        <w:rPr>
          <w:noProof/>
          <w:lang w:val="en-GB"/>
        </w:rPr>
      </w:r>
      <w:r w:rsidR="00EA4FE5" w:rsidRPr="0078734B">
        <w:rPr>
          <w:noProof/>
          <w:lang w:val="en-GB"/>
        </w:rPr>
        <w:fldChar w:fldCharType="separate"/>
      </w:r>
      <w:r w:rsidR="00503F5D">
        <w:rPr>
          <w:noProof/>
          <w:lang w:val="en-GB"/>
        </w:rPr>
        <w:t>30</w:t>
      </w:r>
      <w:r w:rsidR="00EA4FE5" w:rsidRPr="0078734B">
        <w:rPr>
          <w:noProof/>
          <w:lang w:val="en-GB"/>
        </w:rPr>
        <w:fldChar w:fldCharType="end"/>
      </w:r>
    </w:p>
    <w:p w:rsidR="0078734B" w:rsidRPr="0078734B" w:rsidRDefault="0078734B" w:rsidP="0078734B">
      <w:pPr>
        <w:pStyle w:val="TOC3"/>
        <w:tabs>
          <w:tab w:val="left" w:pos="1766"/>
        </w:tabs>
        <w:spacing w:before="0" w:beforeAutospacing="0" w:after="200" w:afterAutospacing="0"/>
        <w:rPr>
          <w:noProof/>
          <w:lang w:val="en-GB"/>
        </w:rPr>
      </w:pPr>
      <w:r w:rsidRPr="002E2C0D">
        <w:rPr>
          <w:noProof/>
          <w:lang w:val="en-GB"/>
        </w:rPr>
        <w:t>5.2.2</w:t>
      </w:r>
      <w:r w:rsidRPr="0078734B">
        <w:rPr>
          <w:noProof/>
          <w:lang w:val="en-GB"/>
        </w:rPr>
        <w:tab/>
      </w:r>
      <w:r w:rsidRPr="002E2C0D">
        <w:rPr>
          <w:noProof/>
          <w:lang w:val="en-GB"/>
        </w:rPr>
        <w:t>Mexico</w:t>
      </w:r>
      <w:r w:rsidRPr="0078734B">
        <w:rPr>
          <w:noProof/>
          <w:lang w:val="en-GB"/>
        </w:rPr>
        <w:tab/>
      </w:r>
      <w:r w:rsidRPr="0078734B">
        <w:rPr>
          <w:noProof/>
          <w:lang w:val="en-GB"/>
        </w:rPr>
        <w:tab/>
      </w:r>
      <w:r w:rsidR="00EA4FE5" w:rsidRPr="0078734B">
        <w:rPr>
          <w:noProof/>
          <w:lang w:val="en-GB"/>
        </w:rPr>
        <w:fldChar w:fldCharType="begin"/>
      </w:r>
      <w:r w:rsidRPr="0078734B">
        <w:rPr>
          <w:noProof/>
          <w:lang w:val="en-GB"/>
        </w:rPr>
        <w:instrText xml:space="preserve"> PAGEREF _Toc251626648 \h </w:instrText>
      </w:r>
      <w:r w:rsidR="00024B34" w:rsidRPr="00EA4FE5">
        <w:rPr>
          <w:noProof/>
          <w:lang w:val="en-GB"/>
        </w:rPr>
      </w:r>
      <w:r w:rsidR="00EA4FE5" w:rsidRPr="0078734B">
        <w:rPr>
          <w:noProof/>
          <w:lang w:val="en-GB"/>
        </w:rPr>
        <w:fldChar w:fldCharType="separate"/>
      </w:r>
      <w:r w:rsidR="00503F5D">
        <w:rPr>
          <w:noProof/>
          <w:lang w:val="en-GB"/>
        </w:rPr>
        <w:t>32</w:t>
      </w:r>
      <w:r w:rsidR="00EA4FE5" w:rsidRPr="0078734B">
        <w:rPr>
          <w:noProof/>
          <w:lang w:val="en-GB"/>
        </w:rPr>
        <w:fldChar w:fldCharType="end"/>
      </w:r>
    </w:p>
    <w:p w:rsidR="0078734B" w:rsidRPr="0078734B" w:rsidRDefault="0078734B" w:rsidP="0078734B">
      <w:pPr>
        <w:pStyle w:val="TOC3"/>
        <w:tabs>
          <w:tab w:val="left" w:pos="1766"/>
        </w:tabs>
        <w:spacing w:before="0" w:beforeAutospacing="0" w:after="200" w:afterAutospacing="0"/>
        <w:rPr>
          <w:noProof/>
          <w:lang w:val="en-GB"/>
        </w:rPr>
      </w:pPr>
      <w:r w:rsidRPr="002E2C0D">
        <w:rPr>
          <w:noProof/>
          <w:lang w:val="en-GB"/>
        </w:rPr>
        <w:t>5.2.3</w:t>
      </w:r>
      <w:r w:rsidRPr="0078734B">
        <w:rPr>
          <w:noProof/>
          <w:lang w:val="en-GB"/>
        </w:rPr>
        <w:tab/>
      </w:r>
      <w:r w:rsidRPr="002E2C0D">
        <w:rPr>
          <w:noProof/>
          <w:lang w:val="en-GB"/>
        </w:rPr>
        <w:t>US</w:t>
      </w:r>
      <w:r w:rsidRPr="0078734B">
        <w:rPr>
          <w:noProof/>
          <w:lang w:val="en-GB"/>
        </w:rPr>
        <w:tab/>
      </w:r>
      <w:r w:rsidRPr="0078734B">
        <w:rPr>
          <w:noProof/>
          <w:lang w:val="en-GB"/>
        </w:rPr>
        <w:tab/>
      </w:r>
      <w:r w:rsidR="00EA4FE5" w:rsidRPr="0078734B">
        <w:rPr>
          <w:noProof/>
          <w:lang w:val="en-GB"/>
        </w:rPr>
        <w:fldChar w:fldCharType="begin"/>
      </w:r>
      <w:r w:rsidRPr="0078734B">
        <w:rPr>
          <w:noProof/>
          <w:lang w:val="en-GB"/>
        </w:rPr>
        <w:instrText xml:space="preserve"> PAGEREF _Toc251626649 \h </w:instrText>
      </w:r>
      <w:r w:rsidR="00024B34" w:rsidRPr="00EA4FE5">
        <w:rPr>
          <w:noProof/>
          <w:lang w:val="en-GB"/>
        </w:rPr>
      </w:r>
      <w:r w:rsidR="00EA4FE5" w:rsidRPr="0078734B">
        <w:rPr>
          <w:noProof/>
          <w:lang w:val="en-GB"/>
        </w:rPr>
        <w:fldChar w:fldCharType="separate"/>
      </w:r>
      <w:r w:rsidR="00503F5D">
        <w:rPr>
          <w:noProof/>
          <w:lang w:val="en-GB"/>
        </w:rPr>
        <w:t>34</w:t>
      </w:r>
      <w:r w:rsidR="00EA4FE5" w:rsidRPr="0078734B">
        <w:rPr>
          <w:noProof/>
          <w:lang w:val="en-GB"/>
        </w:rPr>
        <w:fldChar w:fldCharType="end"/>
      </w:r>
    </w:p>
    <w:p w:rsidR="0078734B" w:rsidRDefault="0078734B" w:rsidP="0078734B">
      <w:pPr>
        <w:pStyle w:val="TOC1"/>
        <w:tabs>
          <w:tab w:val="left" w:pos="396"/>
        </w:tabs>
        <w:spacing w:after="240"/>
        <w:rPr>
          <w:rFonts w:asciiTheme="minorHAnsi" w:eastAsiaTheme="minorEastAsia" w:hAnsiTheme="minorHAnsi" w:cstheme="minorBidi"/>
          <w:b w:val="0"/>
          <w:noProof/>
          <w:color w:val="auto"/>
          <w:sz w:val="24"/>
          <w:szCs w:val="24"/>
        </w:rPr>
      </w:pPr>
      <w:r w:rsidRPr="002E2C0D">
        <w:rPr>
          <w:noProof/>
          <w:lang w:val="en-GB"/>
        </w:rPr>
        <w:t>6</w:t>
      </w:r>
      <w:r>
        <w:rPr>
          <w:rFonts w:asciiTheme="minorHAnsi" w:eastAsiaTheme="minorEastAsia" w:hAnsiTheme="minorHAnsi" w:cstheme="minorBidi"/>
          <w:b w:val="0"/>
          <w:noProof/>
          <w:color w:val="auto"/>
          <w:sz w:val="24"/>
          <w:szCs w:val="24"/>
        </w:rPr>
        <w:tab/>
      </w:r>
      <w:r w:rsidRPr="002E2C0D">
        <w:rPr>
          <w:noProof/>
          <w:lang w:val="en-GB"/>
        </w:rPr>
        <w:t>Conclusions and recommendations</w:t>
      </w:r>
      <w:r>
        <w:rPr>
          <w:noProof/>
        </w:rPr>
        <w:tab/>
      </w:r>
      <w:r w:rsidR="00EA4FE5">
        <w:rPr>
          <w:noProof/>
        </w:rPr>
        <w:fldChar w:fldCharType="begin"/>
      </w:r>
      <w:r>
        <w:rPr>
          <w:noProof/>
        </w:rPr>
        <w:instrText xml:space="preserve"> PAGEREF _Toc251626650 \h </w:instrText>
      </w:r>
      <w:r w:rsidR="00024B34">
        <w:rPr>
          <w:noProof/>
        </w:rPr>
      </w:r>
      <w:r w:rsidR="00EA4FE5">
        <w:rPr>
          <w:noProof/>
        </w:rPr>
        <w:fldChar w:fldCharType="separate"/>
      </w:r>
      <w:r w:rsidR="00503F5D">
        <w:rPr>
          <w:noProof/>
        </w:rPr>
        <w:t>38</w:t>
      </w:r>
      <w:r w:rsidR="00EA4FE5">
        <w:rPr>
          <w:noProof/>
        </w:rPr>
        <w:fldChar w:fldCharType="end"/>
      </w:r>
    </w:p>
    <w:p w:rsidR="0078734B" w:rsidRDefault="0078734B" w:rsidP="0078734B">
      <w:pPr>
        <w:pStyle w:val="TOC1"/>
        <w:tabs>
          <w:tab w:val="left" w:pos="396"/>
        </w:tabs>
        <w:spacing w:after="240"/>
        <w:rPr>
          <w:rFonts w:asciiTheme="minorHAnsi" w:eastAsiaTheme="minorEastAsia" w:hAnsiTheme="minorHAnsi" w:cstheme="minorBidi"/>
          <w:b w:val="0"/>
          <w:noProof/>
          <w:color w:val="auto"/>
          <w:sz w:val="24"/>
          <w:szCs w:val="24"/>
        </w:rPr>
      </w:pPr>
      <w:r w:rsidRPr="002E2C0D">
        <w:rPr>
          <w:noProof/>
          <w:lang w:val="en-GB"/>
        </w:rPr>
        <w:t>7</w:t>
      </w:r>
      <w:r>
        <w:rPr>
          <w:rFonts w:asciiTheme="minorHAnsi" w:eastAsiaTheme="minorEastAsia" w:hAnsiTheme="minorHAnsi" w:cstheme="minorBidi"/>
          <w:b w:val="0"/>
          <w:noProof/>
          <w:color w:val="auto"/>
          <w:sz w:val="24"/>
          <w:szCs w:val="24"/>
        </w:rPr>
        <w:tab/>
      </w:r>
      <w:r w:rsidRPr="002E2C0D">
        <w:rPr>
          <w:noProof/>
          <w:lang w:val="en-GB"/>
        </w:rPr>
        <w:t>References</w:t>
      </w:r>
      <w:r>
        <w:rPr>
          <w:noProof/>
        </w:rPr>
        <w:tab/>
      </w:r>
      <w:r w:rsidR="00EA4FE5">
        <w:rPr>
          <w:noProof/>
        </w:rPr>
        <w:fldChar w:fldCharType="begin"/>
      </w:r>
      <w:r>
        <w:rPr>
          <w:noProof/>
        </w:rPr>
        <w:instrText xml:space="preserve"> PAGEREF _Toc251626651 \h </w:instrText>
      </w:r>
      <w:r w:rsidR="00024B34">
        <w:rPr>
          <w:noProof/>
        </w:rPr>
      </w:r>
      <w:r w:rsidR="00EA4FE5">
        <w:rPr>
          <w:noProof/>
        </w:rPr>
        <w:fldChar w:fldCharType="separate"/>
      </w:r>
      <w:r w:rsidR="00503F5D">
        <w:rPr>
          <w:noProof/>
        </w:rPr>
        <w:t>40</w:t>
      </w:r>
      <w:r w:rsidR="00EA4FE5">
        <w:rPr>
          <w:noProof/>
        </w:rPr>
        <w:fldChar w:fldCharType="end"/>
      </w:r>
    </w:p>
    <w:p w:rsidR="008D1804" w:rsidRPr="00E04A13" w:rsidRDefault="00EA4FE5" w:rsidP="00AE6454">
      <w:pPr>
        <w:spacing w:before="100" w:beforeAutospacing="1" w:after="100" w:afterAutospacing="1" w:line="240" w:lineRule="auto"/>
        <w:rPr>
          <w:lang w:val="en-GB"/>
        </w:rPr>
      </w:pPr>
      <w:r w:rsidRPr="00E04A13">
        <w:rPr>
          <w:lang w:val="en-GB"/>
        </w:rPr>
        <w:fldChar w:fldCharType="end"/>
      </w:r>
    </w:p>
    <w:p w:rsidR="00B33059" w:rsidRPr="00E04A13" w:rsidRDefault="001934BB" w:rsidP="003777D9">
      <w:pPr>
        <w:pStyle w:val="EcoNumberlessHeading1"/>
        <w:ind w:left="851" w:hanging="851"/>
        <w:rPr>
          <w:lang w:val="en-GB"/>
        </w:rPr>
      </w:pPr>
      <w:r w:rsidRPr="00E04A13">
        <w:rPr>
          <w:lang w:val="en-GB"/>
        </w:rPr>
        <w:t>List of Tables</w:t>
      </w:r>
    </w:p>
    <w:p w:rsidR="00503F5D" w:rsidRDefault="00EA4FE5" w:rsidP="00503F5D">
      <w:pPr>
        <w:pStyle w:val="TableofFigures"/>
        <w:tabs>
          <w:tab w:val="right" w:leader="dot" w:pos="9062"/>
        </w:tabs>
        <w:ind w:left="993" w:hanging="993"/>
        <w:jc w:val="left"/>
        <w:rPr>
          <w:rFonts w:asciiTheme="minorHAnsi" w:eastAsiaTheme="minorEastAsia" w:hAnsiTheme="minorHAnsi" w:cstheme="minorBidi"/>
          <w:noProof/>
          <w:sz w:val="24"/>
          <w:szCs w:val="24"/>
        </w:rPr>
      </w:pPr>
      <w:r w:rsidRPr="00E04A13">
        <w:rPr>
          <w:lang w:val="en-GB"/>
        </w:rPr>
        <w:fldChar w:fldCharType="begin"/>
      </w:r>
      <w:r w:rsidR="00B33059" w:rsidRPr="00E04A13">
        <w:rPr>
          <w:lang w:val="en-GB"/>
        </w:rPr>
        <w:instrText xml:space="preserve"> TOC \c "Table" </w:instrText>
      </w:r>
      <w:r w:rsidRPr="00E04A13">
        <w:rPr>
          <w:lang w:val="en-GB"/>
        </w:rPr>
        <w:fldChar w:fldCharType="separate"/>
      </w:r>
      <w:r w:rsidR="00503F5D" w:rsidRPr="003E5FE2">
        <w:rPr>
          <w:noProof/>
          <w:lang w:val="en-GB"/>
        </w:rPr>
        <w:t>Table 1: Growth rates and shares of different LCEGS sub-sectors</w:t>
      </w:r>
      <w:r w:rsidR="00503F5D">
        <w:rPr>
          <w:noProof/>
        </w:rPr>
        <w:tab/>
      </w:r>
      <w:r w:rsidR="00503F5D">
        <w:rPr>
          <w:noProof/>
        </w:rPr>
        <w:fldChar w:fldCharType="begin"/>
      </w:r>
      <w:r w:rsidR="00503F5D">
        <w:rPr>
          <w:noProof/>
        </w:rPr>
        <w:instrText xml:space="preserve"> PAGEREF _Toc252202020 \h </w:instrText>
      </w:r>
      <w:r w:rsidR="003B7343">
        <w:rPr>
          <w:noProof/>
        </w:rPr>
      </w:r>
      <w:r w:rsidR="00503F5D">
        <w:rPr>
          <w:noProof/>
        </w:rPr>
        <w:fldChar w:fldCharType="separate"/>
      </w:r>
      <w:r w:rsidR="00503F5D">
        <w:rPr>
          <w:noProof/>
        </w:rPr>
        <w:t>9</w:t>
      </w:r>
      <w:r w:rsidR="00503F5D">
        <w:rPr>
          <w:noProof/>
        </w:rPr>
        <w:fldChar w:fldCharType="end"/>
      </w:r>
    </w:p>
    <w:p w:rsidR="00503F5D" w:rsidRDefault="00503F5D" w:rsidP="00503F5D">
      <w:pPr>
        <w:pStyle w:val="TableofFigures"/>
        <w:tabs>
          <w:tab w:val="right" w:leader="dot" w:pos="9062"/>
        </w:tabs>
        <w:ind w:left="993" w:hanging="993"/>
        <w:jc w:val="left"/>
        <w:rPr>
          <w:rFonts w:asciiTheme="minorHAnsi" w:eastAsiaTheme="minorEastAsia" w:hAnsiTheme="minorHAnsi" w:cstheme="minorBidi"/>
          <w:noProof/>
          <w:sz w:val="24"/>
          <w:szCs w:val="24"/>
        </w:rPr>
      </w:pPr>
      <w:r w:rsidRPr="003E5FE2">
        <w:rPr>
          <w:noProof/>
          <w:lang w:val="en-GB"/>
        </w:rPr>
        <w:t>Table 2: Growth rates in LCEGS and GDP for eight countries, 2007-2011. Source: Eurostat and IMF</w:t>
      </w:r>
      <w:r>
        <w:rPr>
          <w:noProof/>
        </w:rPr>
        <w:tab/>
      </w:r>
      <w:r>
        <w:rPr>
          <w:noProof/>
        </w:rPr>
        <w:fldChar w:fldCharType="begin"/>
      </w:r>
      <w:r>
        <w:rPr>
          <w:noProof/>
        </w:rPr>
        <w:instrText xml:space="preserve"> PAGEREF _Toc252202021 \h </w:instrText>
      </w:r>
      <w:r w:rsidR="003B7343">
        <w:rPr>
          <w:noProof/>
        </w:rPr>
      </w:r>
      <w:r>
        <w:rPr>
          <w:noProof/>
        </w:rPr>
        <w:fldChar w:fldCharType="separate"/>
      </w:r>
      <w:r>
        <w:rPr>
          <w:noProof/>
        </w:rPr>
        <w:t>10</w:t>
      </w:r>
      <w:r>
        <w:rPr>
          <w:noProof/>
        </w:rPr>
        <w:fldChar w:fldCharType="end"/>
      </w:r>
    </w:p>
    <w:p w:rsidR="00503F5D" w:rsidRDefault="00503F5D" w:rsidP="00503F5D">
      <w:pPr>
        <w:pStyle w:val="TableofFigures"/>
        <w:tabs>
          <w:tab w:val="right" w:leader="dot" w:pos="9062"/>
        </w:tabs>
        <w:ind w:left="993" w:hanging="993"/>
        <w:jc w:val="left"/>
        <w:rPr>
          <w:rFonts w:asciiTheme="minorHAnsi" w:eastAsiaTheme="minorEastAsia" w:hAnsiTheme="minorHAnsi" w:cstheme="minorBidi"/>
          <w:noProof/>
          <w:sz w:val="24"/>
          <w:szCs w:val="24"/>
        </w:rPr>
      </w:pPr>
      <w:r w:rsidRPr="003E5FE2">
        <w:rPr>
          <w:noProof/>
          <w:lang w:val="en-GB"/>
        </w:rPr>
        <w:t>Table 3: Shares and growth rates of patent applications for environment-related technologies, EU, China and USA</w:t>
      </w:r>
      <w:r>
        <w:rPr>
          <w:noProof/>
        </w:rPr>
        <w:tab/>
      </w:r>
      <w:r>
        <w:rPr>
          <w:noProof/>
        </w:rPr>
        <w:fldChar w:fldCharType="begin"/>
      </w:r>
      <w:r>
        <w:rPr>
          <w:noProof/>
        </w:rPr>
        <w:instrText xml:space="preserve"> PAGEREF _Toc252202022 \h </w:instrText>
      </w:r>
      <w:r w:rsidR="003B7343">
        <w:rPr>
          <w:noProof/>
        </w:rPr>
      </w:r>
      <w:r>
        <w:rPr>
          <w:noProof/>
        </w:rPr>
        <w:fldChar w:fldCharType="separate"/>
      </w:r>
      <w:r>
        <w:rPr>
          <w:noProof/>
        </w:rPr>
        <w:t>18</w:t>
      </w:r>
      <w:r>
        <w:rPr>
          <w:noProof/>
        </w:rPr>
        <w:fldChar w:fldCharType="end"/>
      </w:r>
    </w:p>
    <w:p w:rsidR="00503F5D" w:rsidRDefault="00503F5D" w:rsidP="00503F5D">
      <w:pPr>
        <w:pStyle w:val="TableofFigures"/>
        <w:tabs>
          <w:tab w:val="right" w:leader="dot" w:pos="9062"/>
        </w:tabs>
        <w:ind w:left="993" w:hanging="993"/>
        <w:jc w:val="left"/>
        <w:rPr>
          <w:rFonts w:asciiTheme="minorHAnsi" w:eastAsiaTheme="minorEastAsia" w:hAnsiTheme="minorHAnsi" w:cstheme="minorBidi"/>
          <w:noProof/>
          <w:sz w:val="24"/>
          <w:szCs w:val="24"/>
        </w:rPr>
      </w:pPr>
      <w:r w:rsidRPr="003E5FE2">
        <w:rPr>
          <w:noProof/>
          <w:lang w:val="en-GB"/>
        </w:rPr>
        <w:t>Table 4: Share of environmental research in state expenditure for civil R&amp;D, 1991 - 2009</w:t>
      </w:r>
      <w:r>
        <w:rPr>
          <w:noProof/>
        </w:rPr>
        <w:tab/>
      </w:r>
      <w:r>
        <w:rPr>
          <w:noProof/>
        </w:rPr>
        <w:fldChar w:fldCharType="begin"/>
      </w:r>
      <w:r>
        <w:rPr>
          <w:noProof/>
        </w:rPr>
        <w:instrText xml:space="preserve"> PAGEREF _Toc252202023 \h </w:instrText>
      </w:r>
      <w:r w:rsidR="003B7343">
        <w:rPr>
          <w:noProof/>
        </w:rPr>
      </w:r>
      <w:r>
        <w:rPr>
          <w:noProof/>
        </w:rPr>
        <w:fldChar w:fldCharType="separate"/>
      </w:r>
      <w:r>
        <w:rPr>
          <w:noProof/>
        </w:rPr>
        <w:t>19</w:t>
      </w:r>
      <w:r>
        <w:rPr>
          <w:noProof/>
        </w:rPr>
        <w:fldChar w:fldCharType="end"/>
      </w:r>
    </w:p>
    <w:p w:rsidR="00503F5D" w:rsidRDefault="00503F5D" w:rsidP="00503F5D">
      <w:pPr>
        <w:pStyle w:val="TableofFigures"/>
        <w:tabs>
          <w:tab w:val="right" w:leader="dot" w:pos="9062"/>
        </w:tabs>
        <w:ind w:left="993" w:hanging="993"/>
        <w:jc w:val="left"/>
        <w:rPr>
          <w:rFonts w:asciiTheme="minorHAnsi" w:eastAsiaTheme="minorEastAsia" w:hAnsiTheme="minorHAnsi" w:cstheme="minorBidi"/>
          <w:noProof/>
          <w:sz w:val="24"/>
          <w:szCs w:val="24"/>
        </w:rPr>
      </w:pPr>
      <w:r w:rsidRPr="003E5FE2">
        <w:rPr>
          <w:noProof/>
          <w:lang w:val="en-GB"/>
        </w:rPr>
        <w:t>Table 5: All private investment vs. investment in renewables in Germany, 2005 - 2012</w:t>
      </w:r>
      <w:r>
        <w:rPr>
          <w:noProof/>
        </w:rPr>
        <w:tab/>
      </w:r>
      <w:r>
        <w:rPr>
          <w:noProof/>
        </w:rPr>
        <w:fldChar w:fldCharType="begin"/>
      </w:r>
      <w:r>
        <w:rPr>
          <w:noProof/>
        </w:rPr>
        <w:instrText xml:space="preserve"> PAGEREF _Toc252202024 \h </w:instrText>
      </w:r>
      <w:r w:rsidR="003B7343">
        <w:rPr>
          <w:noProof/>
        </w:rPr>
      </w:r>
      <w:r>
        <w:rPr>
          <w:noProof/>
        </w:rPr>
        <w:fldChar w:fldCharType="separate"/>
      </w:r>
      <w:r>
        <w:rPr>
          <w:noProof/>
        </w:rPr>
        <w:t>21</w:t>
      </w:r>
      <w:r>
        <w:rPr>
          <w:noProof/>
        </w:rPr>
        <w:fldChar w:fldCharType="end"/>
      </w:r>
    </w:p>
    <w:p w:rsidR="00503F5D" w:rsidRDefault="00503F5D" w:rsidP="00503F5D">
      <w:pPr>
        <w:pStyle w:val="TableofFigures"/>
        <w:tabs>
          <w:tab w:val="right" w:leader="dot" w:pos="9062"/>
        </w:tabs>
        <w:ind w:left="993" w:hanging="993"/>
        <w:jc w:val="left"/>
        <w:rPr>
          <w:rFonts w:asciiTheme="minorHAnsi" w:eastAsiaTheme="minorEastAsia" w:hAnsiTheme="minorHAnsi" w:cstheme="minorBidi"/>
          <w:noProof/>
          <w:sz w:val="24"/>
          <w:szCs w:val="24"/>
        </w:rPr>
      </w:pPr>
      <w:r w:rsidRPr="003E5FE2">
        <w:rPr>
          <w:noProof/>
          <w:lang w:val="en-GB"/>
        </w:rPr>
        <w:t>Table 6: Nominal growth rates in LCEGS and GDP for Italy, 2008-2011</w:t>
      </w:r>
      <w:r>
        <w:rPr>
          <w:noProof/>
        </w:rPr>
        <w:tab/>
      </w:r>
      <w:r>
        <w:rPr>
          <w:noProof/>
        </w:rPr>
        <w:fldChar w:fldCharType="begin"/>
      </w:r>
      <w:r>
        <w:rPr>
          <w:noProof/>
        </w:rPr>
        <w:instrText xml:space="preserve"> PAGEREF _Toc252202025 \h </w:instrText>
      </w:r>
      <w:r w:rsidR="003B7343">
        <w:rPr>
          <w:noProof/>
        </w:rPr>
      </w:r>
      <w:r>
        <w:rPr>
          <w:noProof/>
        </w:rPr>
        <w:fldChar w:fldCharType="separate"/>
      </w:r>
      <w:r>
        <w:rPr>
          <w:noProof/>
        </w:rPr>
        <w:t>24</w:t>
      </w:r>
      <w:r>
        <w:rPr>
          <w:noProof/>
        </w:rPr>
        <w:fldChar w:fldCharType="end"/>
      </w:r>
    </w:p>
    <w:p w:rsidR="00503F5D" w:rsidRDefault="00503F5D" w:rsidP="00503F5D">
      <w:pPr>
        <w:pStyle w:val="TableofFigures"/>
        <w:tabs>
          <w:tab w:val="right" w:leader="dot" w:pos="9062"/>
        </w:tabs>
        <w:ind w:left="993" w:hanging="993"/>
        <w:jc w:val="left"/>
        <w:rPr>
          <w:rFonts w:asciiTheme="minorHAnsi" w:eastAsiaTheme="minorEastAsia" w:hAnsiTheme="minorHAnsi" w:cstheme="minorBidi"/>
          <w:noProof/>
          <w:sz w:val="24"/>
          <w:szCs w:val="24"/>
        </w:rPr>
      </w:pPr>
      <w:r w:rsidRPr="003E5FE2">
        <w:rPr>
          <w:noProof/>
          <w:lang w:val="en-GB"/>
        </w:rPr>
        <w:t>Table 7: Nominal growth rates in LCEGS and GDP for Poland, 2008-2011</w:t>
      </w:r>
      <w:r>
        <w:rPr>
          <w:noProof/>
        </w:rPr>
        <w:tab/>
      </w:r>
      <w:r>
        <w:rPr>
          <w:noProof/>
        </w:rPr>
        <w:fldChar w:fldCharType="begin"/>
      </w:r>
      <w:r>
        <w:rPr>
          <w:noProof/>
        </w:rPr>
        <w:instrText xml:space="preserve"> PAGEREF _Toc252202026 \h </w:instrText>
      </w:r>
      <w:r w:rsidR="003B7343">
        <w:rPr>
          <w:noProof/>
        </w:rPr>
      </w:r>
      <w:r>
        <w:rPr>
          <w:noProof/>
        </w:rPr>
        <w:fldChar w:fldCharType="separate"/>
      </w:r>
      <w:r>
        <w:rPr>
          <w:noProof/>
        </w:rPr>
        <w:t>26</w:t>
      </w:r>
      <w:r>
        <w:rPr>
          <w:noProof/>
        </w:rPr>
        <w:fldChar w:fldCharType="end"/>
      </w:r>
    </w:p>
    <w:p w:rsidR="00503F5D" w:rsidRDefault="00503F5D" w:rsidP="00503F5D">
      <w:pPr>
        <w:pStyle w:val="TableofFigures"/>
        <w:tabs>
          <w:tab w:val="right" w:leader="dot" w:pos="9062"/>
        </w:tabs>
        <w:ind w:left="993" w:hanging="993"/>
        <w:jc w:val="left"/>
        <w:rPr>
          <w:rFonts w:asciiTheme="minorHAnsi" w:eastAsiaTheme="minorEastAsia" w:hAnsiTheme="minorHAnsi" w:cstheme="minorBidi"/>
          <w:noProof/>
          <w:sz w:val="24"/>
          <w:szCs w:val="24"/>
        </w:rPr>
      </w:pPr>
      <w:r w:rsidRPr="003E5FE2">
        <w:rPr>
          <w:noProof/>
          <w:lang w:val="en-GB"/>
        </w:rPr>
        <w:t>Table 8: GDP growth and renewable share in Portugal, 2006 - 2011</w:t>
      </w:r>
      <w:r>
        <w:rPr>
          <w:noProof/>
        </w:rPr>
        <w:tab/>
      </w:r>
      <w:r>
        <w:rPr>
          <w:noProof/>
        </w:rPr>
        <w:fldChar w:fldCharType="begin"/>
      </w:r>
      <w:r>
        <w:rPr>
          <w:noProof/>
        </w:rPr>
        <w:instrText xml:space="preserve"> PAGEREF _Toc252202027 \h </w:instrText>
      </w:r>
      <w:r w:rsidR="003B7343">
        <w:rPr>
          <w:noProof/>
        </w:rPr>
      </w:r>
      <w:r>
        <w:rPr>
          <w:noProof/>
        </w:rPr>
        <w:fldChar w:fldCharType="separate"/>
      </w:r>
      <w:r>
        <w:rPr>
          <w:noProof/>
        </w:rPr>
        <w:t>26</w:t>
      </w:r>
      <w:r>
        <w:rPr>
          <w:noProof/>
        </w:rPr>
        <w:fldChar w:fldCharType="end"/>
      </w:r>
    </w:p>
    <w:p w:rsidR="00503F5D" w:rsidRDefault="00503F5D" w:rsidP="00503F5D">
      <w:pPr>
        <w:pStyle w:val="TableofFigures"/>
        <w:tabs>
          <w:tab w:val="right" w:leader="dot" w:pos="9062"/>
        </w:tabs>
        <w:ind w:left="993" w:hanging="993"/>
        <w:jc w:val="left"/>
        <w:rPr>
          <w:rFonts w:asciiTheme="minorHAnsi" w:eastAsiaTheme="minorEastAsia" w:hAnsiTheme="minorHAnsi" w:cstheme="minorBidi"/>
          <w:noProof/>
          <w:sz w:val="24"/>
          <w:szCs w:val="24"/>
        </w:rPr>
      </w:pPr>
      <w:r w:rsidRPr="003E5FE2">
        <w:rPr>
          <w:noProof/>
          <w:lang w:val="en-GB"/>
        </w:rPr>
        <w:t>Table 9: Nominal growth rates in LCEGS and GDP for Portugal, 2008-2011</w:t>
      </w:r>
      <w:r>
        <w:rPr>
          <w:noProof/>
        </w:rPr>
        <w:tab/>
      </w:r>
      <w:r>
        <w:rPr>
          <w:noProof/>
        </w:rPr>
        <w:fldChar w:fldCharType="begin"/>
      </w:r>
      <w:r>
        <w:rPr>
          <w:noProof/>
        </w:rPr>
        <w:instrText xml:space="preserve"> PAGEREF _Toc252202028 \h </w:instrText>
      </w:r>
      <w:r w:rsidR="003B7343">
        <w:rPr>
          <w:noProof/>
        </w:rPr>
      </w:r>
      <w:r>
        <w:rPr>
          <w:noProof/>
        </w:rPr>
        <w:fldChar w:fldCharType="separate"/>
      </w:r>
      <w:r>
        <w:rPr>
          <w:noProof/>
        </w:rPr>
        <w:t>27</w:t>
      </w:r>
      <w:r>
        <w:rPr>
          <w:noProof/>
        </w:rPr>
        <w:fldChar w:fldCharType="end"/>
      </w:r>
    </w:p>
    <w:p w:rsidR="00503F5D" w:rsidRDefault="00503F5D" w:rsidP="00503F5D">
      <w:pPr>
        <w:pStyle w:val="TableofFigures"/>
        <w:tabs>
          <w:tab w:val="right" w:leader="dot" w:pos="9062"/>
        </w:tabs>
        <w:ind w:left="993" w:hanging="993"/>
        <w:jc w:val="left"/>
        <w:rPr>
          <w:rFonts w:asciiTheme="minorHAnsi" w:eastAsiaTheme="minorEastAsia" w:hAnsiTheme="minorHAnsi" w:cstheme="minorBidi"/>
          <w:noProof/>
          <w:sz w:val="24"/>
          <w:szCs w:val="24"/>
        </w:rPr>
      </w:pPr>
      <w:r w:rsidRPr="003E5FE2">
        <w:rPr>
          <w:noProof/>
          <w:lang w:val="en-GB"/>
        </w:rPr>
        <w:t>Table 10: Development of sub-sectors in the UK</w:t>
      </w:r>
      <w:r>
        <w:rPr>
          <w:noProof/>
        </w:rPr>
        <w:tab/>
      </w:r>
      <w:r>
        <w:rPr>
          <w:noProof/>
        </w:rPr>
        <w:fldChar w:fldCharType="begin"/>
      </w:r>
      <w:r>
        <w:rPr>
          <w:noProof/>
        </w:rPr>
        <w:instrText xml:space="preserve"> PAGEREF _Toc252202029 \h </w:instrText>
      </w:r>
      <w:r w:rsidR="003B7343">
        <w:rPr>
          <w:noProof/>
        </w:rPr>
      </w:r>
      <w:r>
        <w:rPr>
          <w:noProof/>
        </w:rPr>
        <w:fldChar w:fldCharType="separate"/>
      </w:r>
      <w:r>
        <w:rPr>
          <w:noProof/>
        </w:rPr>
        <w:t>29</w:t>
      </w:r>
      <w:r>
        <w:rPr>
          <w:noProof/>
        </w:rPr>
        <w:fldChar w:fldCharType="end"/>
      </w:r>
    </w:p>
    <w:p w:rsidR="00503F5D" w:rsidRDefault="00503F5D" w:rsidP="00503F5D">
      <w:pPr>
        <w:pStyle w:val="TableofFigures"/>
        <w:tabs>
          <w:tab w:val="right" w:leader="dot" w:pos="9062"/>
        </w:tabs>
        <w:ind w:left="993" w:hanging="993"/>
        <w:jc w:val="left"/>
        <w:rPr>
          <w:rFonts w:asciiTheme="minorHAnsi" w:eastAsiaTheme="minorEastAsia" w:hAnsiTheme="minorHAnsi" w:cstheme="minorBidi"/>
          <w:noProof/>
          <w:sz w:val="24"/>
          <w:szCs w:val="24"/>
        </w:rPr>
      </w:pPr>
      <w:r w:rsidRPr="003E5FE2">
        <w:rPr>
          <w:noProof/>
          <w:lang w:val="en-GB"/>
        </w:rPr>
        <w:t>Table 11: Nominal growth rates in LCEGS and GDP for the UK, 2008-2011</w:t>
      </w:r>
      <w:r>
        <w:rPr>
          <w:noProof/>
        </w:rPr>
        <w:tab/>
      </w:r>
      <w:r>
        <w:rPr>
          <w:noProof/>
        </w:rPr>
        <w:fldChar w:fldCharType="begin"/>
      </w:r>
      <w:r>
        <w:rPr>
          <w:noProof/>
        </w:rPr>
        <w:instrText xml:space="preserve"> PAGEREF _Toc252202030 \h </w:instrText>
      </w:r>
      <w:r w:rsidR="003B7343">
        <w:rPr>
          <w:noProof/>
        </w:rPr>
      </w:r>
      <w:r>
        <w:rPr>
          <w:noProof/>
        </w:rPr>
        <w:fldChar w:fldCharType="separate"/>
      </w:r>
      <w:r>
        <w:rPr>
          <w:noProof/>
        </w:rPr>
        <w:t>29</w:t>
      </w:r>
      <w:r>
        <w:rPr>
          <w:noProof/>
        </w:rPr>
        <w:fldChar w:fldCharType="end"/>
      </w:r>
    </w:p>
    <w:p w:rsidR="00503F5D" w:rsidRDefault="00503F5D" w:rsidP="00503F5D">
      <w:pPr>
        <w:pStyle w:val="TableofFigures"/>
        <w:tabs>
          <w:tab w:val="right" w:leader="dot" w:pos="9062"/>
        </w:tabs>
        <w:ind w:left="993" w:hanging="993"/>
        <w:jc w:val="left"/>
        <w:rPr>
          <w:rFonts w:asciiTheme="minorHAnsi" w:eastAsiaTheme="minorEastAsia" w:hAnsiTheme="minorHAnsi" w:cstheme="minorBidi"/>
          <w:noProof/>
          <w:sz w:val="24"/>
          <w:szCs w:val="24"/>
        </w:rPr>
      </w:pPr>
      <w:r w:rsidRPr="003E5FE2">
        <w:rPr>
          <w:noProof/>
          <w:lang w:val="en-GB"/>
        </w:rPr>
        <w:t>Table 12: Nominal growth rates in LCEGS and GDP for China, 2008-2011</w:t>
      </w:r>
      <w:r>
        <w:rPr>
          <w:noProof/>
        </w:rPr>
        <w:tab/>
      </w:r>
      <w:r>
        <w:rPr>
          <w:noProof/>
        </w:rPr>
        <w:fldChar w:fldCharType="begin"/>
      </w:r>
      <w:r>
        <w:rPr>
          <w:noProof/>
        </w:rPr>
        <w:instrText xml:space="preserve"> PAGEREF _Toc252202031 \h </w:instrText>
      </w:r>
      <w:r w:rsidR="003B7343">
        <w:rPr>
          <w:noProof/>
        </w:rPr>
      </w:r>
      <w:r>
        <w:rPr>
          <w:noProof/>
        </w:rPr>
        <w:fldChar w:fldCharType="separate"/>
      </w:r>
      <w:r>
        <w:rPr>
          <w:noProof/>
        </w:rPr>
        <w:t>32</w:t>
      </w:r>
      <w:r>
        <w:rPr>
          <w:noProof/>
        </w:rPr>
        <w:fldChar w:fldCharType="end"/>
      </w:r>
    </w:p>
    <w:p w:rsidR="00503F5D" w:rsidRDefault="00503F5D" w:rsidP="00503F5D">
      <w:pPr>
        <w:pStyle w:val="TableofFigures"/>
        <w:tabs>
          <w:tab w:val="right" w:leader="dot" w:pos="9062"/>
        </w:tabs>
        <w:ind w:left="993" w:hanging="993"/>
        <w:jc w:val="left"/>
        <w:rPr>
          <w:rFonts w:asciiTheme="minorHAnsi" w:eastAsiaTheme="minorEastAsia" w:hAnsiTheme="minorHAnsi" w:cstheme="minorBidi"/>
          <w:noProof/>
          <w:sz w:val="24"/>
          <w:szCs w:val="24"/>
        </w:rPr>
      </w:pPr>
      <w:r w:rsidRPr="003E5FE2">
        <w:rPr>
          <w:noProof/>
          <w:lang w:val="en-GB"/>
        </w:rPr>
        <w:t>Table 13: Nominal growth rates in LCEGS and GDP for Mexico, 2008-2011</w:t>
      </w:r>
      <w:r>
        <w:rPr>
          <w:noProof/>
        </w:rPr>
        <w:tab/>
      </w:r>
      <w:r>
        <w:rPr>
          <w:noProof/>
        </w:rPr>
        <w:fldChar w:fldCharType="begin"/>
      </w:r>
      <w:r>
        <w:rPr>
          <w:noProof/>
        </w:rPr>
        <w:instrText xml:space="preserve"> PAGEREF _Toc252202032 \h </w:instrText>
      </w:r>
      <w:r w:rsidR="003B7343">
        <w:rPr>
          <w:noProof/>
        </w:rPr>
      </w:r>
      <w:r>
        <w:rPr>
          <w:noProof/>
        </w:rPr>
        <w:fldChar w:fldCharType="separate"/>
      </w:r>
      <w:r>
        <w:rPr>
          <w:noProof/>
        </w:rPr>
        <w:t>33</w:t>
      </w:r>
      <w:r>
        <w:rPr>
          <w:noProof/>
        </w:rPr>
        <w:fldChar w:fldCharType="end"/>
      </w:r>
    </w:p>
    <w:p w:rsidR="00503F5D" w:rsidRDefault="00503F5D" w:rsidP="00503F5D">
      <w:pPr>
        <w:pStyle w:val="TableofFigures"/>
        <w:tabs>
          <w:tab w:val="right" w:leader="dot" w:pos="9062"/>
        </w:tabs>
        <w:ind w:left="993" w:hanging="993"/>
        <w:jc w:val="left"/>
        <w:rPr>
          <w:rFonts w:asciiTheme="minorHAnsi" w:eastAsiaTheme="minorEastAsia" w:hAnsiTheme="minorHAnsi" w:cstheme="minorBidi"/>
          <w:noProof/>
          <w:sz w:val="24"/>
          <w:szCs w:val="24"/>
        </w:rPr>
      </w:pPr>
      <w:r w:rsidRPr="003E5FE2">
        <w:rPr>
          <w:noProof/>
          <w:lang w:val="en-GB"/>
        </w:rPr>
        <w:t>Table 14: Nominal growth rates in LCEGS and GDP for US, 2008-2011</w:t>
      </w:r>
      <w:r>
        <w:rPr>
          <w:noProof/>
        </w:rPr>
        <w:tab/>
      </w:r>
      <w:r>
        <w:rPr>
          <w:noProof/>
        </w:rPr>
        <w:fldChar w:fldCharType="begin"/>
      </w:r>
      <w:r>
        <w:rPr>
          <w:noProof/>
        </w:rPr>
        <w:instrText xml:space="preserve"> PAGEREF _Toc252202033 \h </w:instrText>
      </w:r>
      <w:r w:rsidR="003B7343">
        <w:rPr>
          <w:noProof/>
        </w:rPr>
      </w:r>
      <w:r>
        <w:rPr>
          <w:noProof/>
        </w:rPr>
        <w:fldChar w:fldCharType="separate"/>
      </w:r>
      <w:r>
        <w:rPr>
          <w:noProof/>
        </w:rPr>
        <w:t>37</w:t>
      </w:r>
      <w:r>
        <w:rPr>
          <w:noProof/>
        </w:rPr>
        <w:fldChar w:fldCharType="end"/>
      </w:r>
    </w:p>
    <w:p w:rsidR="001934BB" w:rsidRPr="00E04A13" w:rsidRDefault="00EA4FE5" w:rsidP="00503F5D">
      <w:pPr>
        <w:ind w:left="993" w:hanging="993"/>
        <w:jc w:val="left"/>
        <w:rPr>
          <w:lang w:val="en-GB"/>
        </w:rPr>
      </w:pPr>
      <w:r w:rsidRPr="00E04A13">
        <w:rPr>
          <w:lang w:val="en-GB"/>
        </w:rPr>
        <w:fldChar w:fldCharType="end"/>
      </w:r>
    </w:p>
    <w:p w:rsidR="001934BB" w:rsidRPr="00E04A13" w:rsidRDefault="001934BB" w:rsidP="001934BB">
      <w:pPr>
        <w:pStyle w:val="EcoNumberlessHeading1"/>
        <w:rPr>
          <w:lang w:val="en-GB"/>
        </w:rPr>
      </w:pPr>
      <w:r w:rsidRPr="00E04A13">
        <w:rPr>
          <w:lang w:val="en-GB"/>
        </w:rPr>
        <w:t>List of Figures</w:t>
      </w:r>
    </w:p>
    <w:p w:rsidR="003777D9" w:rsidRPr="00E04A13" w:rsidRDefault="00EA4FE5" w:rsidP="00503F5D">
      <w:pPr>
        <w:pStyle w:val="TableofFigures"/>
        <w:tabs>
          <w:tab w:val="right" w:leader="dot" w:pos="9062"/>
        </w:tabs>
        <w:ind w:left="567" w:hanging="567"/>
        <w:jc w:val="left"/>
        <w:rPr>
          <w:rFonts w:asciiTheme="minorHAnsi" w:eastAsiaTheme="minorEastAsia" w:hAnsiTheme="minorHAnsi" w:cstheme="minorBidi"/>
          <w:noProof/>
          <w:sz w:val="24"/>
          <w:szCs w:val="24"/>
          <w:lang w:val="en-GB"/>
        </w:rPr>
      </w:pPr>
      <w:r w:rsidRPr="00E04A13">
        <w:rPr>
          <w:lang w:val="en-GB"/>
        </w:rPr>
        <w:fldChar w:fldCharType="begin"/>
      </w:r>
      <w:r w:rsidR="001934BB" w:rsidRPr="00E04A13">
        <w:rPr>
          <w:lang w:val="en-GB"/>
        </w:rPr>
        <w:instrText xml:space="preserve"> TOC \c "Figure" </w:instrText>
      </w:r>
      <w:r w:rsidRPr="00E04A13">
        <w:rPr>
          <w:lang w:val="en-GB"/>
        </w:rPr>
        <w:fldChar w:fldCharType="separate"/>
      </w:r>
      <w:r w:rsidR="003777D9" w:rsidRPr="00E04A13">
        <w:rPr>
          <w:noProof/>
          <w:lang w:val="en-GB"/>
        </w:rPr>
        <w:t>Figure 1: Size of the LCEGS sector (in % of GDP) and annual growth, 2007-2011</w:t>
      </w:r>
      <w:r w:rsidR="003777D9" w:rsidRPr="00E04A13">
        <w:rPr>
          <w:noProof/>
          <w:lang w:val="en-GB"/>
        </w:rPr>
        <w:tab/>
      </w:r>
      <w:r w:rsidRPr="00E04A13">
        <w:rPr>
          <w:noProof/>
          <w:lang w:val="en-GB"/>
        </w:rPr>
        <w:fldChar w:fldCharType="begin"/>
      </w:r>
      <w:r w:rsidR="003777D9" w:rsidRPr="00E04A13">
        <w:rPr>
          <w:noProof/>
          <w:lang w:val="en-GB"/>
        </w:rPr>
        <w:instrText xml:space="preserve"> PAGEREF _Toc249437484 \h </w:instrText>
      </w:r>
      <w:r w:rsidR="00024B34" w:rsidRPr="00EA4FE5">
        <w:rPr>
          <w:noProof/>
          <w:lang w:val="en-GB"/>
        </w:rPr>
      </w:r>
      <w:r w:rsidRPr="00E04A13">
        <w:rPr>
          <w:noProof/>
          <w:lang w:val="en-GB"/>
        </w:rPr>
        <w:fldChar w:fldCharType="separate"/>
      </w:r>
      <w:r w:rsidR="00503F5D">
        <w:rPr>
          <w:noProof/>
          <w:lang w:val="en-GB"/>
        </w:rPr>
        <w:t>8</w:t>
      </w:r>
      <w:r w:rsidRPr="00E04A13">
        <w:rPr>
          <w:noProof/>
          <w:lang w:val="en-GB"/>
        </w:rPr>
        <w:fldChar w:fldCharType="end"/>
      </w:r>
    </w:p>
    <w:p w:rsidR="003777D9" w:rsidRPr="00E04A13" w:rsidRDefault="003777D9" w:rsidP="00503F5D">
      <w:pPr>
        <w:pStyle w:val="TableofFigures"/>
        <w:tabs>
          <w:tab w:val="right" w:leader="dot" w:pos="9062"/>
        </w:tabs>
        <w:ind w:left="567" w:hanging="567"/>
        <w:jc w:val="left"/>
        <w:rPr>
          <w:rFonts w:asciiTheme="minorHAnsi" w:eastAsiaTheme="minorEastAsia" w:hAnsiTheme="minorHAnsi" w:cstheme="minorBidi"/>
          <w:noProof/>
          <w:sz w:val="24"/>
          <w:szCs w:val="24"/>
          <w:lang w:val="en-GB"/>
        </w:rPr>
      </w:pPr>
      <w:r w:rsidRPr="00E04A13">
        <w:rPr>
          <w:noProof/>
          <w:lang w:val="en-GB"/>
        </w:rPr>
        <w:t>Figure 2: Number of patent applications for environment-related technologies in eight selected countries, 1990-2009. Source: OECD ENV-Tech Indicator Set</w:t>
      </w:r>
      <w:r w:rsidRPr="00E04A13">
        <w:rPr>
          <w:noProof/>
          <w:lang w:val="en-GB"/>
        </w:rPr>
        <w:tab/>
        <w:t>12</w:t>
      </w:r>
    </w:p>
    <w:p w:rsidR="003777D9" w:rsidRPr="00E04A13" w:rsidRDefault="003777D9" w:rsidP="00503F5D">
      <w:pPr>
        <w:pStyle w:val="TableofFigures"/>
        <w:tabs>
          <w:tab w:val="right" w:leader="dot" w:pos="9062"/>
        </w:tabs>
        <w:ind w:left="567" w:hanging="567"/>
        <w:jc w:val="left"/>
        <w:rPr>
          <w:rFonts w:asciiTheme="minorHAnsi" w:eastAsiaTheme="minorEastAsia" w:hAnsiTheme="minorHAnsi" w:cstheme="minorBidi"/>
          <w:noProof/>
          <w:sz w:val="24"/>
          <w:szCs w:val="24"/>
          <w:lang w:val="en-GB"/>
        </w:rPr>
      </w:pPr>
      <w:r w:rsidRPr="00E04A13">
        <w:rPr>
          <w:noProof/>
          <w:lang w:val="en-GB"/>
        </w:rPr>
        <w:t>Figure 3: Patent applications for selected environment-related technologies in the EU-28, 2000 – 2009. Source: OECD ENV-Tech Indicator Set</w:t>
      </w:r>
      <w:r w:rsidRPr="00E04A13">
        <w:rPr>
          <w:noProof/>
          <w:lang w:val="en-GB"/>
        </w:rPr>
        <w:tab/>
      </w:r>
      <w:r w:rsidR="00EA4FE5" w:rsidRPr="00E04A13">
        <w:rPr>
          <w:noProof/>
          <w:lang w:val="en-GB"/>
        </w:rPr>
        <w:fldChar w:fldCharType="begin"/>
      </w:r>
      <w:r w:rsidRPr="00E04A13">
        <w:rPr>
          <w:noProof/>
          <w:lang w:val="en-GB"/>
        </w:rPr>
        <w:instrText xml:space="preserve"> PAGEREF _Toc249437485 \h </w:instrText>
      </w:r>
      <w:r w:rsidR="00024B34" w:rsidRPr="00EA4FE5">
        <w:rPr>
          <w:noProof/>
          <w:lang w:val="en-GB"/>
        </w:rPr>
      </w:r>
      <w:r w:rsidR="00EA4FE5" w:rsidRPr="00E04A13">
        <w:rPr>
          <w:noProof/>
          <w:lang w:val="en-GB"/>
        </w:rPr>
        <w:fldChar w:fldCharType="separate"/>
      </w:r>
      <w:r w:rsidR="00503F5D">
        <w:rPr>
          <w:noProof/>
          <w:lang w:val="en-GB"/>
        </w:rPr>
        <w:t>14</w:t>
      </w:r>
      <w:r w:rsidR="00EA4FE5" w:rsidRPr="00E04A13">
        <w:rPr>
          <w:noProof/>
          <w:lang w:val="en-GB"/>
        </w:rPr>
        <w:fldChar w:fldCharType="end"/>
      </w:r>
    </w:p>
    <w:p w:rsidR="003777D9" w:rsidRPr="00E04A13" w:rsidRDefault="003777D9" w:rsidP="00503F5D">
      <w:pPr>
        <w:pStyle w:val="TableofFigures"/>
        <w:tabs>
          <w:tab w:val="right" w:leader="dot" w:pos="9062"/>
        </w:tabs>
        <w:ind w:left="567" w:hanging="567"/>
        <w:jc w:val="left"/>
        <w:rPr>
          <w:rFonts w:asciiTheme="minorHAnsi" w:eastAsiaTheme="minorEastAsia" w:hAnsiTheme="minorHAnsi" w:cstheme="minorBidi"/>
          <w:noProof/>
          <w:sz w:val="24"/>
          <w:szCs w:val="24"/>
          <w:lang w:val="en-GB"/>
        </w:rPr>
      </w:pPr>
      <w:r w:rsidRPr="00E04A13">
        <w:rPr>
          <w:noProof/>
          <w:lang w:val="en-GB"/>
        </w:rPr>
        <w:t>Figure 4: Patenting activity for selected technologies in the EU-28, 2000 - 2009 (2000 = 100). Source: OECD ENV-Tech Indicator Set</w:t>
      </w:r>
      <w:r w:rsidRPr="00E04A13">
        <w:rPr>
          <w:noProof/>
          <w:lang w:val="en-GB"/>
        </w:rPr>
        <w:tab/>
      </w:r>
      <w:r w:rsidR="00EA4FE5" w:rsidRPr="00E04A13">
        <w:rPr>
          <w:noProof/>
          <w:lang w:val="en-GB"/>
        </w:rPr>
        <w:fldChar w:fldCharType="begin"/>
      </w:r>
      <w:r w:rsidRPr="00E04A13">
        <w:rPr>
          <w:noProof/>
          <w:lang w:val="en-GB"/>
        </w:rPr>
        <w:instrText xml:space="preserve"> PAGEREF _Toc249437486 \h </w:instrText>
      </w:r>
      <w:r w:rsidR="00024B34" w:rsidRPr="00EA4FE5">
        <w:rPr>
          <w:noProof/>
          <w:lang w:val="en-GB"/>
        </w:rPr>
      </w:r>
      <w:r w:rsidR="00EA4FE5" w:rsidRPr="00E04A13">
        <w:rPr>
          <w:noProof/>
          <w:lang w:val="en-GB"/>
        </w:rPr>
        <w:fldChar w:fldCharType="separate"/>
      </w:r>
      <w:r w:rsidR="00503F5D">
        <w:rPr>
          <w:noProof/>
          <w:lang w:val="en-GB"/>
        </w:rPr>
        <w:t>15</w:t>
      </w:r>
      <w:r w:rsidR="00EA4FE5" w:rsidRPr="00E04A13">
        <w:rPr>
          <w:noProof/>
          <w:lang w:val="en-GB"/>
        </w:rPr>
        <w:fldChar w:fldCharType="end"/>
      </w:r>
    </w:p>
    <w:p w:rsidR="003777D9" w:rsidRPr="00E04A13" w:rsidRDefault="003777D9" w:rsidP="00503F5D">
      <w:pPr>
        <w:pStyle w:val="TableofFigures"/>
        <w:tabs>
          <w:tab w:val="right" w:leader="dot" w:pos="9062"/>
        </w:tabs>
        <w:ind w:left="567" w:hanging="567"/>
        <w:jc w:val="left"/>
        <w:rPr>
          <w:rFonts w:asciiTheme="minorHAnsi" w:eastAsiaTheme="minorEastAsia" w:hAnsiTheme="minorHAnsi" w:cstheme="minorBidi"/>
          <w:noProof/>
          <w:sz w:val="24"/>
          <w:szCs w:val="24"/>
          <w:lang w:val="en-GB"/>
        </w:rPr>
      </w:pPr>
      <w:r w:rsidRPr="00E04A13">
        <w:rPr>
          <w:noProof/>
          <w:lang w:val="en-GB"/>
        </w:rPr>
        <w:t>Figure 5: Number of patent applications for selected environmental management technologies in the EU, China and the US, 2000 - 2009. Source: OECD ENV-Tech</w:t>
      </w:r>
      <w:r w:rsidRPr="00E04A13">
        <w:rPr>
          <w:noProof/>
          <w:lang w:val="en-GB"/>
        </w:rPr>
        <w:tab/>
      </w:r>
      <w:r w:rsidR="00EA4FE5" w:rsidRPr="00E04A13">
        <w:rPr>
          <w:noProof/>
          <w:lang w:val="en-GB"/>
        </w:rPr>
        <w:fldChar w:fldCharType="begin"/>
      </w:r>
      <w:r w:rsidRPr="00E04A13">
        <w:rPr>
          <w:noProof/>
          <w:lang w:val="en-GB"/>
        </w:rPr>
        <w:instrText xml:space="preserve"> PAGEREF _Toc249437487 \h </w:instrText>
      </w:r>
      <w:r w:rsidR="00024B34" w:rsidRPr="00EA4FE5">
        <w:rPr>
          <w:noProof/>
          <w:lang w:val="en-GB"/>
        </w:rPr>
      </w:r>
      <w:r w:rsidR="00EA4FE5" w:rsidRPr="00E04A13">
        <w:rPr>
          <w:noProof/>
          <w:lang w:val="en-GB"/>
        </w:rPr>
        <w:fldChar w:fldCharType="separate"/>
      </w:r>
      <w:r w:rsidR="00503F5D">
        <w:rPr>
          <w:noProof/>
          <w:lang w:val="en-GB"/>
        </w:rPr>
        <w:t>16</w:t>
      </w:r>
      <w:r w:rsidR="00EA4FE5" w:rsidRPr="00E04A13">
        <w:rPr>
          <w:noProof/>
          <w:lang w:val="en-GB"/>
        </w:rPr>
        <w:fldChar w:fldCharType="end"/>
      </w:r>
    </w:p>
    <w:p w:rsidR="003777D9" w:rsidRPr="00E04A13" w:rsidRDefault="003777D9" w:rsidP="00503F5D">
      <w:pPr>
        <w:pStyle w:val="TableofFigures"/>
        <w:tabs>
          <w:tab w:val="right" w:leader="dot" w:pos="9062"/>
        </w:tabs>
        <w:ind w:left="567" w:hanging="567"/>
        <w:jc w:val="left"/>
        <w:rPr>
          <w:rFonts w:asciiTheme="minorHAnsi" w:eastAsiaTheme="minorEastAsia" w:hAnsiTheme="minorHAnsi" w:cstheme="minorBidi"/>
          <w:noProof/>
          <w:sz w:val="24"/>
          <w:szCs w:val="24"/>
          <w:lang w:val="en-GB"/>
        </w:rPr>
      </w:pPr>
      <w:r w:rsidRPr="00E04A13">
        <w:rPr>
          <w:noProof/>
          <w:lang w:val="en-GB"/>
        </w:rPr>
        <w:t>Figure 6: Number of patent applications for selected renewable energy technologies in the EU, China and the US, 2000 - 2009. Source: OECD ENV-Tech Indicator Set</w:t>
      </w:r>
      <w:r w:rsidRPr="00E04A13">
        <w:rPr>
          <w:noProof/>
          <w:lang w:val="en-GB"/>
        </w:rPr>
        <w:tab/>
      </w:r>
      <w:r w:rsidR="00EA4FE5" w:rsidRPr="00E04A13">
        <w:rPr>
          <w:noProof/>
          <w:lang w:val="en-GB"/>
        </w:rPr>
        <w:fldChar w:fldCharType="begin"/>
      </w:r>
      <w:r w:rsidRPr="00E04A13">
        <w:rPr>
          <w:noProof/>
          <w:lang w:val="en-GB"/>
        </w:rPr>
        <w:instrText xml:space="preserve"> PAGEREF _Toc249437488 \h </w:instrText>
      </w:r>
      <w:r w:rsidR="00024B34" w:rsidRPr="00EA4FE5">
        <w:rPr>
          <w:noProof/>
          <w:lang w:val="en-GB"/>
        </w:rPr>
      </w:r>
      <w:r w:rsidR="00EA4FE5" w:rsidRPr="00E04A13">
        <w:rPr>
          <w:noProof/>
          <w:lang w:val="en-GB"/>
        </w:rPr>
        <w:fldChar w:fldCharType="separate"/>
      </w:r>
      <w:r w:rsidR="00503F5D">
        <w:rPr>
          <w:noProof/>
          <w:lang w:val="en-GB"/>
        </w:rPr>
        <w:t>17</w:t>
      </w:r>
      <w:r w:rsidR="00EA4FE5" w:rsidRPr="00E04A13">
        <w:rPr>
          <w:noProof/>
          <w:lang w:val="en-GB"/>
        </w:rPr>
        <w:fldChar w:fldCharType="end"/>
      </w:r>
    </w:p>
    <w:p w:rsidR="003777D9" w:rsidRPr="00E04A13" w:rsidRDefault="003777D9" w:rsidP="00503F5D">
      <w:pPr>
        <w:pStyle w:val="TableofFigures"/>
        <w:tabs>
          <w:tab w:val="right" w:leader="dot" w:pos="9062"/>
        </w:tabs>
        <w:ind w:left="567" w:hanging="567"/>
        <w:jc w:val="left"/>
        <w:rPr>
          <w:rFonts w:asciiTheme="minorHAnsi" w:eastAsiaTheme="minorEastAsia" w:hAnsiTheme="minorHAnsi" w:cstheme="minorBidi"/>
          <w:noProof/>
          <w:sz w:val="24"/>
          <w:szCs w:val="24"/>
          <w:lang w:val="en-GB"/>
        </w:rPr>
      </w:pPr>
      <w:r w:rsidRPr="00E04A13">
        <w:rPr>
          <w:noProof/>
          <w:lang w:val="en-GB"/>
        </w:rPr>
        <w:t>Figure 7: Number of patent applications for selected energy efficiency technologies in the EU, China and the US, 2000 - 2009. Source: OECD ENV-Tech Indicator Set</w:t>
      </w:r>
      <w:r w:rsidRPr="00E04A13">
        <w:rPr>
          <w:noProof/>
          <w:lang w:val="en-GB"/>
        </w:rPr>
        <w:tab/>
      </w:r>
      <w:r w:rsidR="00EA4FE5" w:rsidRPr="00E04A13">
        <w:rPr>
          <w:noProof/>
          <w:lang w:val="en-GB"/>
        </w:rPr>
        <w:fldChar w:fldCharType="begin"/>
      </w:r>
      <w:r w:rsidRPr="00E04A13">
        <w:rPr>
          <w:noProof/>
          <w:lang w:val="en-GB"/>
        </w:rPr>
        <w:instrText xml:space="preserve"> PAGEREF _Toc249437489 \h </w:instrText>
      </w:r>
      <w:r w:rsidR="00024B34" w:rsidRPr="00EA4FE5">
        <w:rPr>
          <w:noProof/>
          <w:lang w:val="en-GB"/>
        </w:rPr>
      </w:r>
      <w:r w:rsidR="00EA4FE5" w:rsidRPr="00E04A13">
        <w:rPr>
          <w:noProof/>
          <w:lang w:val="en-GB"/>
        </w:rPr>
        <w:fldChar w:fldCharType="separate"/>
      </w:r>
      <w:r w:rsidR="00503F5D">
        <w:rPr>
          <w:noProof/>
          <w:lang w:val="en-GB"/>
        </w:rPr>
        <w:t>17</w:t>
      </w:r>
      <w:r w:rsidR="00EA4FE5" w:rsidRPr="00E04A13">
        <w:rPr>
          <w:noProof/>
          <w:lang w:val="en-GB"/>
        </w:rPr>
        <w:fldChar w:fldCharType="end"/>
      </w:r>
    </w:p>
    <w:p w:rsidR="003777D9" w:rsidRPr="00E04A13" w:rsidRDefault="003777D9" w:rsidP="00503F5D">
      <w:pPr>
        <w:pStyle w:val="TableofFigures"/>
        <w:tabs>
          <w:tab w:val="right" w:leader="dot" w:pos="9062"/>
        </w:tabs>
        <w:ind w:left="567" w:hanging="567"/>
        <w:jc w:val="left"/>
        <w:rPr>
          <w:rFonts w:asciiTheme="minorHAnsi" w:eastAsiaTheme="minorEastAsia" w:hAnsiTheme="minorHAnsi" w:cstheme="minorBidi"/>
          <w:noProof/>
          <w:sz w:val="24"/>
          <w:szCs w:val="24"/>
          <w:lang w:val="en-GB"/>
        </w:rPr>
      </w:pPr>
      <w:r w:rsidRPr="00E04A13">
        <w:rPr>
          <w:noProof/>
          <w:lang w:val="en-GB"/>
        </w:rPr>
        <w:t>Figure 8: Power production in Germany</w:t>
      </w:r>
      <w:r w:rsidRPr="00E04A13">
        <w:rPr>
          <w:noProof/>
          <w:lang w:val="en-GB"/>
        </w:rPr>
        <w:tab/>
      </w:r>
      <w:r w:rsidR="00EA4FE5" w:rsidRPr="00E04A13">
        <w:rPr>
          <w:noProof/>
          <w:lang w:val="en-GB"/>
        </w:rPr>
        <w:fldChar w:fldCharType="begin"/>
      </w:r>
      <w:r w:rsidRPr="00E04A13">
        <w:rPr>
          <w:noProof/>
          <w:lang w:val="en-GB"/>
        </w:rPr>
        <w:instrText xml:space="preserve"> PAGEREF _Toc249437490 \h </w:instrText>
      </w:r>
      <w:r w:rsidR="00024B34" w:rsidRPr="00EA4FE5">
        <w:rPr>
          <w:noProof/>
          <w:lang w:val="en-GB"/>
        </w:rPr>
      </w:r>
      <w:r w:rsidR="00EA4FE5" w:rsidRPr="00E04A13">
        <w:rPr>
          <w:noProof/>
          <w:lang w:val="en-GB"/>
        </w:rPr>
        <w:fldChar w:fldCharType="separate"/>
      </w:r>
      <w:r w:rsidR="00503F5D">
        <w:rPr>
          <w:noProof/>
          <w:lang w:val="en-GB"/>
        </w:rPr>
        <w:t>22</w:t>
      </w:r>
      <w:r w:rsidR="00EA4FE5" w:rsidRPr="00E04A13">
        <w:rPr>
          <w:noProof/>
          <w:lang w:val="en-GB"/>
        </w:rPr>
        <w:fldChar w:fldCharType="end"/>
      </w:r>
    </w:p>
    <w:p w:rsidR="001934BB" w:rsidRPr="00E04A13" w:rsidRDefault="00EA4FE5" w:rsidP="00503F5D">
      <w:pPr>
        <w:spacing w:afterLines="50" w:line="240" w:lineRule="auto"/>
        <w:ind w:left="567" w:hanging="567"/>
        <w:jc w:val="left"/>
        <w:rPr>
          <w:lang w:val="en-GB"/>
        </w:rPr>
      </w:pPr>
      <w:r w:rsidRPr="00E04A13">
        <w:rPr>
          <w:lang w:val="en-GB"/>
        </w:rPr>
        <w:fldChar w:fldCharType="end"/>
      </w:r>
    </w:p>
    <w:p w:rsidR="008D1804" w:rsidRPr="00E04A13" w:rsidRDefault="008D1804" w:rsidP="008D1804">
      <w:pPr>
        <w:spacing w:afterLines="50" w:line="240" w:lineRule="auto"/>
        <w:rPr>
          <w:lang w:val="en-GB"/>
        </w:rPr>
        <w:sectPr w:rsidR="008D1804" w:rsidRPr="00E04A13">
          <w:footerReference w:type="default" r:id="rId16"/>
          <w:type w:val="oddPage"/>
          <w:pgSz w:w="11906" w:h="16838"/>
          <w:pgMar w:top="1417" w:right="1417" w:bottom="1134" w:left="1417" w:header="708" w:footer="708" w:gutter="0"/>
          <w:pgNumType w:fmt="lowerRoman" w:start="1"/>
          <w:cols w:space="708"/>
          <w:docGrid w:linePitch="360"/>
        </w:sectPr>
      </w:pPr>
    </w:p>
    <w:p w:rsidR="005D7C19" w:rsidRPr="00E04A13" w:rsidRDefault="005D7C19" w:rsidP="005D7C19">
      <w:pPr>
        <w:pStyle w:val="Heading1"/>
        <w:numPr>
          <w:ilvl w:val="0"/>
          <w:numId w:val="0"/>
        </w:numPr>
        <w:spacing w:before="480" w:afterLines="150"/>
        <w:ind w:left="432" w:hanging="432"/>
        <w:rPr>
          <w:lang w:val="en-GB"/>
        </w:rPr>
      </w:pPr>
      <w:bookmarkStart w:id="0" w:name="_Toc251626627"/>
      <w:r w:rsidRPr="00E04A13">
        <w:rPr>
          <w:lang w:val="en-GB"/>
        </w:rPr>
        <w:t>Main findings of the study</w:t>
      </w:r>
      <w:bookmarkEnd w:id="0"/>
      <w:r w:rsidRPr="00E04A13">
        <w:rPr>
          <w:lang w:val="en-GB"/>
        </w:rPr>
        <w:t xml:space="preserve"> </w:t>
      </w:r>
    </w:p>
    <w:p w:rsidR="008C6C36" w:rsidRDefault="006C126E" w:rsidP="008C6C36">
      <w:pPr>
        <w:rPr>
          <w:lang w:val="en-GB"/>
        </w:rPr>
      </w:pPr>
      <w:r w:rsidRPr="00E04A13">
        <w:rPr>
          <w:lang w:val="en-GB"/>
        </w:rPr>
        <w:t>Since 2007</w:t>
      </w:r>
      <w:r w:rsidR="005D6386" w:rsidRPr="00E04A13">
        <w:rPr>
          <w:lang w:val="en-GB"/>
        </w:rPr>
        <w:t>,</w:t>
      </w:r>
      <w:r w:rsidR="009775D7" w:rsidRPr="00E04A13">
        <w:rPr>
          <w:lang w:val="en-GB"/>
        </w:rPr>
        <w:t xml:space="preserve"> Eco-I</w:t>
      </w:r>
      <w:r w:rsidRPr="00E04A13">
        <w:rPr>
          <w:lang w:val="en-GB"/>
        </w:rPr>
        <w:t xml:space="preserve">ndustries have been growing </w:t>
      </w:r>
      <w:r w:rsidR="008C6C36" w:rsidRPr="00E04A13">
        <w:rPr>
          <w:lang w:val="en-GB"/>
        </w:rPr>
        <w:t xml:space="preserve">globally </w:t>
      </w:r>
      <w:r w:rsidRPr="00E04A13">
        <w:rPr>
          <w:lang w:val="en-GB"/>
        </w:rPr>
        <w:t>at a relatively stable pace of around 3-4% a year. Compared to the rest of the economy</w:t>
      </w:r>
      <w:r w:rsidR="005D6386" w:rsidRPr="00E04A13">
        <w:rPr>
          <w:lang w:val="en-GB"/>
        </w:rPr>
        <w:t>,</w:t>
      </w:r>
      <w:r w:rsidRPr="00E04A13">
        <w:rPr>
          <w:lang w:val="en-GB"/>
        </w:rPr>
        <w:t xml:space="preserve"> and especially compared to other industrial output</w:t>
      </w:r>
      <w:r w:rsidR="005D6386" w:rsidRPr="00E04A13">
        <w:rPr>
          <w:lang w:val="en-GB"/>
        </w:rPr>
        <w:t>,</w:t>
      </w:r>
      <w:r w:rsidRPr="00E04A13">
        <w:rPr>
          <w:lang w:val="en-GB"/>
        </w:rPr>
        <w:t xml:space="preserve"> the rate of growth </w:t>
      </w:r>
      <w:r w:rsidR="005D6386" w:rsidRPr="00E04A13">
        <w:rPr>
          <w:lang w:val="en-GB"/>
        </w:rPr>
        <w:t xml:space="preserve">of Eco-Industries was </w:t>
      </w:r>
      <w:r w:rsidRPr="00E04A13">
        <w:rPr>
          <w:lang w:val="en-GB"/>
        </w:rPr>
        <w:t xml:space="preserve">much higher </w:t>
      </w:r>
      <w:r w:rsidR="005939F1" w:rsidRPr="00E04A13">
        <w:rPr>
          <w:lang w:val="en-GB"/>
        </w:rPr>
        <w:t xml:space="preserve">during the </w:t>
      </w:r>
      <w:r w:rsidR="009775D7" w:rsidRPr="00E04A13">
        <w:rPr>
          <w:lang w:val="en-GB"/>
        </w:rPr>
        <w:t xml:space="preserve">financial and </w:t>
      </w:r>
      <w:r w:rsidRPr="00E04A13">
        <w:rPr>
          <w:lang w:val="en-GB"/>
        </w:rPr>
        <w:t>economic crisis</w:t>
      </w:r>
      <w:r w:rsidR="005939F1" w:rsidRPr="00E04A13">
        <w:rPr>
          <w:lang w:val="en-GB"/>
        </w:rPr>
        <w:t xml:space="preserve"> </w:t>
      </w:r>
      <w:r w:rsidR="005D6386" w:rsidRPr="00E04A13">
        <w:rPr>
          <w:lang w:val="en-GB"/>
        </w:rPr>
        <w:t xml:space="preserve">of </w:t>
      </w:r>
      <w:r w:rsidRPr="00E04A13">
        <w:rPr>
          <w:lang w:val="en-GB"/>
        </w:rPr>
        <w:t>2008 and 2009</w:t>
      </w:r>
      <w:r w:rsidR="005D6386" w:rsidRPr="00E04A13">
        <w:rPr>
          <w:lang w:val="en-GB"/>
        </w:rPr>
        <w:t>,</w:t>
      </w:r>
      <w:r w:rsidRPr="00E04A13">
        <w:rPr>
          <w:lang w:val="en-GB"/>
        </w:rPr>
        <w:t xml:space="preserve"> but slightly lower since then. </w:t>
      </w:r>
      <w:r w:rsidR="00565D9E" w:rsidRPr="00E04A13">
        <w:rPr>
          <w:lang w:val="en-GB"/>
        </w:rPr>
        <w:t>Eco</w:t>
      </w:r>
      <w:r w:rsidR="001F0A3F" w:rsidRPr="00E04A13">
        <w:rPr>
          <w:lang w:val="en-GB"/>
        </w:rPr>
        <w:t>-I</w:t>
      </w:r>
      <w:r w:rsidR="00565D9E" w:rsidRPr="00E04A13">
        <w:rPr>
          <w:lang w:val="en-GB"/>
        </w:rPr>
        <w:t xml:space="preserve">ndustries </w:t>
      </w:r>
      <w:r w:rsidR="00A725DD" w:rsidRPr="00E04A13">
        <w:rPr>
          <w:lang w:val="en-GB"/>
        </w:rPr>
        <w:t xml:space="preserve">thus </w:t>
      </w:r>
      <w:r w:rsidR="005939F1" w:rsidRPr="00E04A13">
        <w:rPr>
          <w:lang w:val="en-GB"/>
        </w:rPr>
        <w:t>served as a</w:t>
      </w:r>
      <w:r w:rsidR="001F0A3F" w:rsidRPr="00E04A13">
        <w:rPr>
          <w:lang w:val="en-GB"/>
        </w:rPr>
        <w:t>n economic stabilizer</w:t>
      </w:r>
      <w:r w:rsidR="00565D9E" w:rsidRPr="00E04A13">
        <w:rPr>
          <w:lang w:val="en-GB"/>
        </w:rPr>
        <w:t xml:space="preserve"> </w:t>
      </w:r>
      <w:r w:rsidR="005939F1" w:rsidRPr="00E04A13">
        <w:rPr>
          <w:lang w:val="en-GB"/>
        </w:rPr>
        <w:t xml:space="preserve">during the recession. </w:t>
      </w:r>
      <w:r w:rsidR="00A725DD" w:rsidRPr="00E04A13">
        <w:rPr>
          <w:lang w:val="en-GB"/>
        </w:rPr>
        <w:t xml:space="preserve">Eco-Industries in Europe have been able to consolidate and defend their competitive position in recent years. The global market share (22%) of European Eco-Industries was stable over this period, despite the </w:t>
      </w:r>
      <w:r w:rsidR="008C6C36">
        <w:rPr>
          <w:lang w:val="en-GB"/>
        </w:rPr>
        <w:t xml:space="preserve">fact that overall economic growth </w:t>
      </w:r>
      <w:r w:rsidR="00A725DD" w:rsidRPr="00E04A13">
        <w:rPr>
          <w:lang w:val="en-GB"/>
        </w:rPr>
        <w:t>in Europe</w:t>
      </w:r>
      <w:r w:rsidR="008C6C36">
        <w:rPr>
          <w:lang w:val="en-GB"/>
        </w:rPr>
        <w:t xml:space="preserve"> was much weaker than the world average during this period</w:t>
      </w:r>
      <w:r w:rsidR="00CC5CEF">
        <w:rPr>
          <w:lang w:val="en-GB"/>
        </w:rPr>
        <w:t>.</w:t>
      </w:r>
      <w:r w:rsidR="00A725DD" w:rsidRPr="00E04A13">
        <w:rPr>
          <w:lang w:val="en-GB"/>
        </w:rPr>
        <w:t xml:space="preserve"> European Eco-Industries </w:t>
      </w:r>
      <w:r w:rsidR="00CC5CEF">
        <w:rPr>
          <w:lang w:val="en-GB"/>
        </w:rPr>
        <w:t xml:space="preserve">have </w:t>
      </w:r>
      <w:r w:rsidR="008C6C36">
        <w:rPr>
          <w:lang w:val="en-GB"/>
        </w:rPr>
        <w:t xml:space="preserve">thus </w:t>
      </w:r>
      <w:r w:rsidR="00A725DD" w:rsidRPr="00E04A13">
        <w:rPr>
          <w:lang w:val="en-GB"/>
        </w:rPr>
        <w:t>remain</w:t>
      </w:r>
      <w:r w:rsidR="00CC5CEF">
        <w:rPr>
          <w:lang w:val="en-GB"/>
        </w:rPr>
        <w:t>ed</w:t>
      </w:r>
      <w:r w:rsidR="00A725DD" w:rsidRPr="00E04A13">
        <w:rPr>
          <w:lang w:val="en-GB"/>
        </w:rPr>
        <w:t xml:space="preserve"> globally competitive and are keeping up with the global expansion of the sector</w:t>
      </w:r>
      <w:r w:rsidR="00CC5CEF">
        <w:rPr>
          <w:lang w:val="en-GB"/>
        </w:rPr>
        <w:t>, and act as a stabilising factor in the turbulent economic climate in Europe</w:t>
      </w:r>
      <w:r w:rsidR="00A725DD" w:rsidRPr="00E04A13">
        <w:rPr>
          <w:lang w:val="en-GB"/>
        </w:rPr>
        <w:t xml:space="preserve">. </w:t>
      </w:r>
    </w:p>
    <w:p w:rsidR="0095139D" w:rsidRPr="00E04A13" w:rsidRDefault="0095139D" w:rsidP="008C6C36">
      <w:pPr>
        <w:rPr>
          <w:lang w:val="en-GB"/>
        </w:rPr>
      </w:pPr>
      <w:r>
        <w:rPr>
          <w:lang w:val="en-GB"/>
        </w:rPr>
        <w:t>But Eco-Industries have not only had a stabilising effect – they have also been a driver of growth, particularly in Europe. In four of the five European countries considered in this study, Eco-Industries have grown faster than GDP between 2008 and 2012. In Italy and Portugal, where nominal GDP has stagnated during this period, Eco-Industries have grown by 9.4 and 5%, respectively</w:t>
      </w:r>
      <w:r w:rsidR="00BD7958">
        <w:rPr>
          <w:lang w:val="en-GB"/>
        </w:rPr>
        <w:t>, from 2008 to 2012</w:t>
      </w:r>
      <w:r>
        <w:rPr>
          <w:lang w:val="en-GB"/>
        </w:rPr>
        <w:t>.</w:t>
      </w:r>
      <w:r w:rsidR="00BD7958">
        <w:rPr>
          <w:lang w:val="en-GB"/>
        </w:rPr>
        <w:t xml:space="preserve"> But also in Germany, whose economy remained relatively robust during the crisis, Eco-Industries were a driver of growth, with an increase of 13% between 2008 and 2013.</w:t>
      </w:r>
    </w:p>
    <w:p w:rsidR="007611DD" w:rsidRDefault="007611DD" w:rsidP="007611DD">
      <w:pPr>
        <w:rPr>
          <w:lang w:val="en-GB"/>
        </w:rPr>
      </w:pPr>
      <w:r>
        <w:rPr>
          <w:lang w:val="en-GB"/>
        </w:rPr>
        <w:t>There are inherent reasons why Eco-Industries have outperformed the rest of the economy, particula</w:t>
      </w:r>
      <w:r w:rsidR="008C6C36">
        <w:rPr>
          <w:lang w:val="en-GB"/>
        </w:rPr>
        <w:t>rly during the economic crisis. F</w:t>
      </w:r>
      <w:r>
        <w:rPr>
          <w:lang w:val="en-GB"/>
        </w:rPr>
        <w:t xml:space="preserve">or instance, Eco-Industries are a highly innovative segment of the economy. Particularly since 2005, innovation activity in </w:t>
      </w:r>
      <w:r w:rsidR="008C6C36">
        <w:rPr>
          <w:lang w:val="en-GB"/>
        </w:rPr>
        <w:t>most</w:t>
      </w:r>
      <w:r>
        <w:rPr>
          <w:lang w:val="en-GB"/>
        </w:rPr>
        <w:t xml:space="preserve"> Eco-Industries has increased markedly</w:t>
      </w:r>
      <w:r w:rsidR="00E46086">
        <w:rPr>
          <w:lang w:val="en-GB"/>
        </w:rPr>
        <w:t>. This is</w:t>
      </w:r>
      <w:r>
        <w:rPr>
          <w:lang w:val="en-GB"/>
        </w:rPr>
        <w:t xml:space="preserve"> documented by an increasing number of patents</w:t>
      </w:r>
      <w:r w:rsidR="00E46086">
        <w:rPr>
          <w:lang w:val="en-GB"/>
        </w:rPr>
        <w:t>: particularly for renewable energy and energy efficiency technologies, patenting activity has grown much quicker</w:t>
      </w:r>
      <w:r>
        <w:rPr>
          <w:lang w:val="en-GB"/>
        </w:rPr>
        <w:t xml:space="preserve"> </w:t>
      </w:r>
      <w:r w:rsidR="00E46086">
        <w:rPr>
          <w:lang w:val="en-GB"/>
        </w:rPr>
        <w:t xml:space="preserve">than </w:t>
      </w:r>
      <w:r>
        <w:rPr>
          <w:lang w:val="en-GB"/>
        </w:rPr>
        <w:t>the economy-wide average</w:t>
      </w:r>
      <w:r w:rsidR="00E46086">
        <w:rPr>
          <w:lang w:val="en-GB"/>
        </w:rPr>
        <w:t xml:space="preserve"> across all technologies</w:t>
      </w:r>
      <w:r>
        <w:rPr>
          <w:lang w:val="en-GB"/>
        </w:rPr>
        <w:t>.</w:t>
      </w:r>
    </w:p>
    <w:p w:rsidR="007611DD" w:rsidRDefault="007611DD" w:rsidP="007611DD">
      <w:pPr>
        <w:rPr>
          <w:lang w:val="en-GB"/>
        </w:rPr>
      </w:pPr>
      <w:r>
        <w:rPr>
          <w:lang w:val="en-GB"/>
        </w:rPr>
        <w:t>Another</w:t>
      </w:r>
      <w:r w:rsidRPr="000D1D3E">
        <w:rPr>
          <w:lang w:val="en-GB"/>
        </w:rPr>
        <w:t xml:space="preserve"> main reason </w:t>
      </w:r>
      <w:r>
        <w:rPr>
          <w:lang w:val="en-GB"/>
        </w:rPr>
        <w:t>why Eco-Industries could play this counter-cyclical role</w:t>
      </w:r>
      <w:r w:rsidRPr="000D1D3E">
        <w:rPr>
          <w:lang w:val="en-GB"/>
        </w:rPr>
        <w:t xml:space="preserve"> is the dependence of many </w:t>
      </w:r>
      <w:r>
        <w:rPr>
          <w:lang w:val="en-GB"/>
        </w:rPr>
        <w:t>E</w:t>
      </w:r>
      <w:r w:rsidRPr="000D1D3E">
        <w:rPr>
          <w:lang w:val="en-GB"/>
        </w:rPr>
        <w:t>co</w:t>
      </w:r>
      <w:r>
        <w:rPr>
          <w:lang w:val="en-GB"/>
        </w:rPr>
        <w:t>-I</w:t>
      </w:r>
      <w:r w:rsidRPr="000D1D3E">
        <w:rPr>
          <w:lang w:val="en-GB"/>
        </w:rPr>
        <w:t>ndustries on government spending</w:t>
      </w:r>
      <w:r>
        <w:rPr>
          <w:lang w:val="en-GB"/>
        </w:rPr>
        <w:t>, policies,</w:t>
      </w:r>
      <w:r w:rsidRPr="000D1D3E">
        <w:rPr>
          <w:lang w:val="en-GB"/>
        </w:rPr>
        <w:t xml:space="preserve"> and investment</w:t>
      </w:r>
      <w:r>
        <w:rPr>
          <w:lang w:val="en-GB"/>
        </w:rPr>
        <w:t>s</w:t>
      </w:r>
      <w:r w:rsidRPr="000D1D3E">
        <w:rPr>
          <w:lang w:val="en-GB"/>
        </w:rPr>
        <w:t xml:space="preserve">. Many governments increased </w:t>
      </w:r>
      <w:r>
        <w:rPr>
          <w:lang w:val="en-GB"/>
        </w:rPr>
        <w:t xml:space="preserve">public </w:t>
      </w:r>
      <w:r w:rsidRPr="000D1D3E">
        <w:rPr>
          <w:lang w:val="en-GB"/>
        </w:rPr>
        <w:t xml:space="preserve">spending during the crisis and some of that spending </w:t>
      </w:r>
      <w:r>
        <w:rPr>
          <w:lang w:val="en-GB"/>
        </w:rPr>
        <w:t>was</w:t>
      </w:r>
      <w:r w:rsidRPr="000D1D3E">
        <w:rPr>
          <w:lang w:val="en-GB"/>
        </w:rPr>
        <w:t xml:space="preserve"> used on energy and other infrastructure</w:t>
      </w:r>
      <w:r>
        <w:rPr>
          <w:lang w:val="en-GB"/>
        </w:rPr>
        <w:t>,</w:t>
      </w:r>
      <w:r w:rsidRPr="000D1D3E">
        <w:rPr>
          <w:lang w:val="en-GB"/>
        </w:rPr>
        <w:t xml:space="preserve"> </w:t>
      </w:r>
      <w:r>
        <w:rPr>
          <w:lang w:val="en-GB"/>
        </w:rPr>
        <w:t xml:space="preserve">specifically </w:t>
      </w:r>
      <w:r w:rsidRPr="000D1D3E">
        <w:rPr>
          <w:lang w:val="en-GB"/>
        </w:rPr>
        <w:t xml:space="preserve">benefiting </w:t>
      </w:r>
      <w:r>
        <w:rPr>
          <w:lang w:val="en-GB"/>
        </w:rPr>
        <w:t xml:space="preserve">or intentionally stimulating </w:t>
      </w:r>
      <w:r w:rsidRPr="000D1D3E">
        <w:rPr>
          <w:lang w:val="en-GB"/>
        </w:rPr>
        <w:t>the</w:t>
      </w:r>
      <w:r>
        <w:rPr>
          <w:lang w:val="en-GB"/>
        </w:rPr>
        <w:t xml:space="preserve"> E</w:t>
      </w:r>
      <w:r w:rsidRPr="000D1D3E">
        <w:rPr>
          <w:lang w:val="en-GB"/>
        </w:rPr>
        <w:t>co</w:t>
      </w:r>
      <w:r>
        <w:rPr>
          <w:lang w:val="en-GB"/>
        </w:rPr>
        <w:t>-I</w:t>
      </w:r>
      <w:r w:rsidRPr="000D1D3E">
        <w:rPr>
          <w:lang w:val="en-GB"/>
        </w:rPr>
        <w:t>ndustries. On the other hand</w:t>
      </w:r>
      <w:r>
        <w:rPr>
          <w:lang w:val="en-GB"/>
        </w:rPr>
        <w:t>,</w:t>
      </w:r>
      <w:r w:rsidRPr="000D1D3E">
        <w:rPr>
          <w:lang w:val="en-GB"/>
        </w:rPr>
        <w:t xml:space="preserve"> </w:t>
      </w:r>
      <w:r>
        <w:rPr>
          <w:lang w:val="en-GB"/>
        </w:rPr>
        <w:t>after</w:t>
      </w:r>
      <w:r w:rsidRPr="000D1D3E">
        <w:rPr>
          <w:lang w:val="en-GB"/>
        </w:rPr>
        <w:t xml:space="preserve"> </w:t>
      </w:r>
      <w:r>
        <w:rPr>
          <w:lang w:val="en-GB"/>
        </w:rPr>
        <w:t xml:space="preserve">the stimulus spending of </w:t>
      </w:r>
      <w:r w:rsidRPr="000D1D3E">
        <w:rPr>
          <w:lang w:val="en-GB"/>
        </w:rPr>
        <w:t xml:space="preserve">2009 many governments </w:t>
      </w:r>
      <w:r>
        <w:rPr>
          <w:lang w:val="en-GB"/>
        </w:rPr>
        <w:t xml:space="preserve">have had to cut their </w:t>
      </w:r>
      <w:r w:rsidRPr="000D1D3E">
        <w:rPr>
          <w:lang w:val="en-GB"/>
        </w:rPr>
        <w:t>spending</w:t>
      </w:r>
      <w:r>
        <w:rPr>
          <w:lang w:val="en-GB"/>
        </w:rPr>
        <w:t>,</w:t>
      </w:r>
      <w:r w:rsidRPr="000D1D3E">
        <w:rPr>
          <w:lang w:val="en-GB"/>
        </w:rPr>
        <w:t xml:space="preserve"> which in many countries has led </w:t>
      </w:r>
      <w:r>
        <w:rPr>
          <w:lang w:val="en-GB"/>
        </w:rPr>
        <w:t xml:space="preserve">predictably </w:t>
      </w:r>
      <w:r w:rsidRPr="000D1D3E">
        <w:rPr>
          <w:lang w:val="en-GB"/>
        </w:rPr>
        <w:t xml:space="preserve">to </w:t>
      </w:r>
      <w:r>
        <w:rPr>
          <w:lang w:val="en-GB"/>
        </w:rPr>
        <w:t>s</w:t>
      </w:r>
      <w:r w:rsidRPr="000D1D3E">
        <w:rPr>
          <w:lang w:val="en-GB"/>
        </w:rPr>
        <w:t xml:space="preserve">lower growth of </w:t>
      </w:r>
      <w:r>
        <w:rPr>
          <w:lang w:val="en-GB"/>
        </w:rPr>
        <w:t>Eco-Industries</w:t>
      </w:r>
      <w:r w:rsidRPr="000D1D3E">
        <w:rPr>
          <w:lang w:val="en-GB"/>
        </w:rPr>
        <w:t xml:space="preserve">. </w:t>
      </w:r>
    </w:p>
    <w:p w:rsidR="00565D9E" w:rsidRPr="00E04A13" w:rsidRDefault="005B361E" w:rsidP="005D7C19">
      <w:pPr>
        <w:rPr>
          <w:lang w:val="en-GB"/>
        </w:rPr>
      </w:pPr>
      <w:r w:rsidRPr="00E04A13">
        <w:rPr>
          <w:lang w:val="en-GB"/>
        </w:rPr>
        <w:t xml:space="preserve">This </w:t>
      </w:r>
      <w:r w:rsidR="009775D7" w:rsidRPr="00E04A13">
        <w:rPr>
          <w:lang w:val="en-GB"/>
        </w:rPr>
        <w:t>is not to say that Eco-Industries have gone through the crisis unscathed: Eco-Industries are not detached from the rest of the economy. Thus, t</w:t>
      </w:r>
      <w:r w:rsidR="00565D9E" w:rsidRPr="00E04A13">
        <w:rPr>
          <w:lang w:val="en-GB"/>
        </w:rPr>
        <w:t xml:space="preserve">he </w:t>
      </w:r>
      <w:r w:rsidR="001F0A3F" w:rsidRPr="00E04A13">
        <w:rPr>
          <w:lang w:val="en-GB"/>
        </w:rPr>
        <w:t xml:space="preserve">overall </w:t>
      </w:r>
      <w:r w:rsidR="009775D7" w:rsidRPr="00E04A13">
        <w:rPr>
          <w:lang w:val="en-GB"/>
        </w:rPr>
        <w:t xml:space="preserve">weak </w:t>
      </w:r>
      <w:r w:rsidR="00565D9E" w:rsidRPr="00E04A13">
        <w:rPr>
          <w:lang w:val="en-GB"/>
        </w:rPr>
        <w:t xml:space="preserve">investment </w:t>
      </w:r>
      <w:r w:rsidR="009775D7" w:rsidRPr="00E04A13">
        <w:rPr>
          <w:lang w:val="en-GB"/>
        </w:rPr>
        <w:t>in the crisis years and its aftermath has also affected investment in Eco-I</w:t>
      </w:r>
      <w:r w:rsidR="00A20152" w:rsidRPr="00E04A13">
        <w:rPr>
          <w:lang w:val="en-GB"/>
        </w:rPr>
        <w:t>ndustries</w:t>
      </w:r>
      <w:r w:rsidR="009775D7" w:rsidRPr="00E04A13">
        <w:rPr>
          <w:lang w:val="en-GB"/>
        </w:rPr>
        <w:t>, albeit to a lesser degree than the rest of the economy</w:t>
      </w:r>
      <w:r w:rsidR="00A20152" w:rsidRPr="00E04A13">
        <w:rPr>
          <w:lang w:val="en-GB"/>
        </w:rPr>
        <w:t>.</w:t>
      </w:r>
      <w:r w:rsidR="001A46FF" w:rsidRPr="00E04A13">
        <w:rPr>
          <w:lang w:val="en-GB"/>
        </w:rPr>
        <w:t xml:space="preserve"> </w:t>
      </w:r>
    </w:p>
    <w:p w:rsidR="000D1D3E" w:rsidRPr="00E04A13" w:rsidRDefault="001F0A3F" w:rsidP="005D7C19">
      <w:pPr>
        <w:rPr>
          <w:lang w:val="en-GB"/>
        </w:rPr>
      </w:pPr>
      <w:r w:rsidRPr="00E04A13">
        <w:rPr>
          <w:lang w:val="en-GB"/>
        </w:rPr>
        <w:t>For the purposes of this study, w</w:t>
      </w:r>
      <w:r w:rsidR="00E46086">
        <w:rPr>
          <w:lang w:val="en-GB"/>
        </w:rPr>
        <w:t>e analysed eight</w:t>
      </w:r>
      <w:r w:rsidR="00565D9E" w:rsidRPr="00E04A13">
        <w:rPr>
          <w:lang w:val="en-GB"/>
        </w:rPr>
        <w:t xml:space="preserve"> countries </w:t>
      </w:r>
      <w:r w:rsidRPr="00E04A13">
        <w:rPr>
          <w:lang w:val="en-GB"/>
        </w:rPr>
        <w:t xml:space="preserve">(five from Europe and three outside Europe) </w:t>
      </w:r>
      <w:r w:rsidR="00565D9E" w:rsidRPr="00E04A13">
        <w:rPr>
          <w:lang w:val="en-GB"/>
        </w:rPr>
        <w:t>in more detail</w:t>
      </w:r>
      <w:r w:rsidRPr="00E04A13">
        <w:rPr>
          <w:lang w:val="en-GB"/>
        </w:rPr>
        <w:t xml:space="preserve">, looking at the characteristics of their Eco-Industries, the countries’ respective policies and investment strategies, as well as the areas where their economies or private sectors are global leaders in Eco-Industry subsectors. Our analysis </w:t>
      </w:r>
      <w:r w:rsidR="00565D9E" w:rsidRPr="00E04A13">
        <w:rPr>
          <w:lang w:val="en-GB"/>
        </w:rPr>
        <w:t>found that the</w:t>
      </w:r>
      <w:r w:rsidRPr="00E04A13">
        <w:rPr>
          <w:lang w:val="en-GB"/>
        </w:rPr>
        <w:t xml:space="preserve"> countries</w:t>
      </w:r>
      <w:r w:rsidR="00565D9E" w:rsidRPr="00E04A13">
        <w:rPr>
          <w:lang w:val="en-GB"/>
        </w:rPr>
        <w:t xml:space="preserve"> differed both in the growth rate of </w:t>
      </w:r>
      <w:r w:rsidR="009775D7" w:rsidRPr="00E04A13">
        <w:rPr>
          <w:lang w:val="en-GB"/>
        </w:rPr>
        <w:t>Eco-Industries</w:t>
      </w:r>
      <w:r w:rsidR="00565D9E" w:rsidRPr="00E04A13">
        <w:rPr>
          <w:lang w:val="en-GB"/>
        </w:rPr>
        <w:t xml:space="preserve"> and in the </w:t>
      </w:r>
      <w:r w:rsidR="000D1D3E" w:rsidRPr="00E04A13">
        <w:rPr>
          <w:lang w:val="en-GB"/>
        </w:rPr>
        <w:t xml:space="preserve">current size of </w:t>
      </w:r>
      <w:r w:rsidR="009775D7" w:rsidRPr="00E04A13">
        <w:rPr>
          <w:lang w:val="en-GB"/>
        </w:rPr>
        <w:t>Eco-Industries</w:t>
      </w:r>
      <w:r w:rsidR="000D1D3E" w:rsidRPr="00E04A13">
        <w:rPr>
          <w:lang w:val="en-GB"/>
        </w:rPr>
        <w:t>. Compared to GDP</w:t>
      </w:r>
      <w:r w:rsidRPr="00E04A13">
        <w:rPr>
          <w:lang w:val="en-GB"/>
        </w:rPr>
        <w:t>,</w:t>
      </w:r>
      <w:r w:rsidR="000D1D3E" w:rsidRPr="00E04A13">
        <w:rPr>
          <w:lang w:val="en-GB"/>
        </w:rPr>
        <w:t xml:space="preserve"> the size of the Eco Industry sector </w:t>
      </w:r>
      <w:r w:rsidRPr="00E04A13">
        <w:rPr>
          <w:lang w:val="en-GB"/>
        </w:rPr>
        <w:t xml:space="preserve">ranged </w:t>
      </w:r>
      <w:r w:rsidR="000D1D3E" w:rsidRPr="00E04A13">
        <w:rPr>
          <w:lang w:val="en-GB"/>
        </w:rPr>
        <w:t xml:space="preserve">between 3.5% and 5% and growth </w:t>
      </w:r>
      <w:r w:rsidRPr="00E04A13">
        <w:rPr>
          <w:lang w:val="en-GB"/>
        </w:rPr>
        <w:t xml:space="preserve">rates varied </w:t>
      </w:r>
      <w:r w:rsidR="000D1D3E" w:rsidRPr="00E04A13">
        <w:rPr>
          <w:lang w:val="en-GB"/>
        </w:rPr>
        <w:t xml:space="preserve">between 5% and 25% between 2007 and 2011. </w:t>
      </w:r>
    </w:p>
    <w:p w:rsidR="001A46FF" w:rsidRPr="00E04A13" w:rsidRDefault="001F0A3F" w:rsidP="005D7C19">
      <w:pPr>
        <w:rPr>
          <w:lang w:val="en-GB"/>
        </w:rPr>
      </w:pPr>
      <w:r w:rsidRPr="00E04A13">
        <w:rPr>
          <w:lang w:val="en-GB"/>
        </w:rPr>
        <w:t>In looking at the role that national policies play in driving investment and growth of Eco-Industries, w</w:t>
      </w:r>
      <w:r w:rsidR="000D1D3E" w:rsidRPr="00E04A13">
        <w:rPr>
          <w:lang w:val="en-GB"/>
        </w:rPr>
        <w:t xml:space="preserve">e found that green government policies </w:t>
      </w:r>
      <w:r w:rsidRPr="00E04A13">
        <w:rPr>
          <w:lang w:val="en-GB"/>
        </w:rPr>
        <w:t>tended to be</w:t>
      </w:r>
      <w:r w:rsidR="000D1D3E" w:rsidRPr="00E04A13">
        <w:rPr>
          <w:lang w:val="en-GB"/>
        </w:rPr>
        <w:t xml:space="preserve"> responsible for strong growth </w:t>
      </w:r>
      <w:r w:rsidR="00A20152" w:rsidRPr="00E04A13">
        <w:rPr>
          <w:lang w:val="en-GB"/>
        </w:rPr>
        <w:t xml:space="preserve">of </w:t>
      </w:r>
      <w:r w:rsidR="009775D7" w:rsidRPr="00E04A13">
        <w:rPr>
          <w:lang w:val="en-GB"/>
        </w:rPr>
        <w:t>Eco-Industries</w:t>
      </w:r>
      <w:r w:rsidRPr="00E04A13">
        <w:rPr>
          <w:lang w:val="en-GB"/>
        </w:rPr>
        <w:t xml:space="preserve">, but </w:t>
      </w:r>
      <w:r w:rsidR="007611DD">
        <w:rPr>
          <w:lang w:val="en-GB"/>
        </w:rPr>
        <w:t>with exceptions</w:t>
      </w:r>
      <w:r w:rsidR="000D1D3E" w:rsidRPr="00E04A13">
        <w:rPr>
          <w:lang w:val="en-GB"/>
        </w:rPr>
        <w:t>.</w:t>
      </w:r>
      <w:r w:rsidRPr="00E04A13">
        <w:rPr>
          <w:lang w:val="en-GB"/>
        </w:rPr>
        <w:t xml:space="preserve"> </w:t>
      </w:r>
      <w:r w:rsidR="007611DD">
        <w:rPr>
          <w:lang w:val="en-GB"/>
        </w:rPr>
        <w:t>Thus, t</w:t>
      </w:r>
      <w:r w:rsidR="000D1D3E" w:rsidRPr="00E04A13">
        <w:rPr>
          <w:lang w:val="en-GB"/>
        </w:rPr>
        <w:t xml:space="preserve">he overall economic </w:t>
      </w:r>
      <w:r w:rsidRPr="00E04A13">
        <w:rPr>
          <w:lang w:val="en-GB"/>
        </w:rPr>
        <w:t xml:space="preserve">situation </w:t>
      </w:r>
      <w:r w:rsidR="007611DD">
        <w:rPr>
          <w:lang w:val="en-GB"/>
        </w:rPr>
        <w:t xml:space="preserve">is another key factor </w:t>
      </w:r>
      <w:r w:rsidR="000D1D3E" w:rsidRPr="00E04A13">
        <w:rPr>
          <w:lang w:val="en-GB"/>
        </w:rPr>
        <w:t xml:space="preserve">for the development of </w:t>
      </w:r>
      <w:r w:rsidR="009775D7" w:rsidRPr="00E04A13">
        <w:rPr>
          <w:lang w:val="en-GB"/>
        </w:rPr>
        <w:t>Eco-Industries</w:t>
      </w:r>
      <w:r w:rsidR="000D1D3E" w:rsidRPr="00E04A13">
        <w:rPr>
          <w:lang w:val="en-GB"/>
        </w:rPr>
        <w:t xml:space="preserve">, with countries with poor economic performance </w:t>
      </w:r>
      <w:r w:rsidR="007611DD">
        <w:rPr>
          <w:lang w:val="en-GB"/>
        </w:rPr>
        <w:t xml:space="preserve">also </w:t>
      </w:r>
      <w:r w:rsidR="000D1D3E" w:rsidRPr="00E04A13">
        <w:rPr>
          <w:lang w:val="en-GB"/>
        </w:rPr>
        <w:t>lagging behind</w:t>
      </w:r>
      <w:r w:rsidR="007611DD">
        <w:rPr>
          <w:lang w:val="en-GB"/>
        </w:rPr>
        <w:t xml:space="preserve"> in the development of Eco-industries</w:t>
      </w:r>
      <w:r w:rsidR="000D1D3E" w:rsidRPr="00E04A13">
        <w:rPr>
          <w:lang w:val="en-GB"/>
        </w:rPr>
        <w:t xml:space="preserve">. </w:t>
      </w:r>
      <w:r w:rsidR="007611DD">
        <w:rPr>
          <w:lang w:val="en-GB"/>
        </w:rPr>
        <w:t xml:space="preserve">By contrast, a country such as </w:t>
      </w:r>
      <w:r w:rsidR="00D25CC7" w:rsidRPr="00E04A13">
        <w:rPr>
          <w:lang w:val="en-GB"/>
        </w:rPr>
        <w:t xml:space="preserve">Poland </w:t>
      </w:r>
      <w:r w:rsidR="007611DD">
        <w:rPr>
          <w:lang w:val="en-GB"/>
        </w:rPr>
        <w:t xml:space="preserve">has seen </w:t>
      </w:r>
      <w:r w:rsidR="00D25CC7" w:rsidRPr="00E04A13">
        <w:rPr>
          <w:lang w:val="en-GB"/>
        </w:rPr>
        <w:t xml:space="preserve">strong growth in </w:t>
      </w:r>
      <w:r w:rsidR="007611DD">
        <w:rPr>
          <w:lang w:val="en-GB"/>
        </w:rPr>
        <w:t>Eco-</w:t>
      </w:r>
      <w:r w:rsidR="00D25CC7" w:rsidRPr="00E04A13">
        <w:rPr>
          <w:lang w:val="en-GB"/>
        </w:rPr>
        <w:t xml:space="preserve">industries </w:t>
      </w:r>
      <w:r w:rsidR="007611DD">
        <w:rPr>
          <w:lang w:val="en-GB"/>
        </w:rPr>
        <w:t xml:space="preserve">in </w:t>
      </w:r>
      <w:r w:rsidR="001A46FF" w:rsidRPr="00E04A13">
        <w:rPr>
          <w:lang w:val="en-GB"/>
        </w:rPr>
        <w:t>a rapidly growing economy</w:t>
      </w:r>
      <w:r w:rsidR="0095139D">
        <w:rPr>
          <w:lang w:val="en-GB"/>
        </w:rPr>
        <w:t xml:space="preserve"> – and yet, Poland is the only European country considered in this study where Eco-Industries have grown less than GDP. The fact that this growth was not underpinned by an</w:t>
      </w:r>
      <w:r w:rsidR="001A46FF" w:rsidRPr="00E04A13">
        <w:rPr>
          <w:lang w:val="en-GB"/>
        </w:rPr>
        <w:t xml:space="preserve"> equally strong</w:t>
      </w:r>
      <w:r w:rsidR="00D25CC7" w:rsidRPr="00E04A13">
        <w:rPr>
          <w:lang w:val="en-GB"/>
        </w:rPr>
        <w:t xml:space="preserve"> government strategy </w:t>
      </w:r>
      <w:r w:rsidR="001A46FF" w:rsidRPr="00E04A13">
        <w:rPr>
          <w:lang w:val="en-GB"/>
        </w:rPr>
        <w:t xml:space="preserve">for Eco-Industries </w:t>
      </w:r>
      <w:r w:rsidR="0095139D">
        <w:rPr>
          <w:lang w:val="en-GB"/>
        </w:rPr>
        <w:t>in Poland as in other countries may have contributed to this result</w:t>
      </w:r>
      <w:r w:rsidR="001A46FF" w:rsidRPr="00E04A13">
        <w:rPr>
          <w:lang w:val="en-GB"/>
        </w:rPr>
        <w:t>.</w:t>
      </w:r>
      <w:r w:rsidRPr="00E04A13">
        <w:rPr>
          <w:lang w:val="en-GB"/>
        </w:rPr>
        <w:t xml:space="preserve"> </w:t>
      </w:r>
      <w:r w:rsidR="001A46FF" w:rsidRPr="00E04A13">
        <w:rPr>
          <w:lang w:val="en-GB"/>
        </w:rPr>
        <w:t>A</w:t>
      </w:r>
      <w:r w:rsidR="007611DD">
        <w:rPr>
          <w:lang w:val="en-GB"/>
        </w:rPr>
        <w:t>nother</w:t>
      </w:r>
      <w:r w:rsidRPr="00E04A13">
        <w:rPr>
          <w:lang w:val="en-GB"/>
        </w:rPr>
        <w:t xml:space="preserve"> case </w:t>
      </w:r>
      <w:r w:rsidR="007611DD">
        <w:rPr>
          <w:lang w:val="en-GB"/>
        </w:rPr>
        <w:t xml:space="preserve">in point is </w:t>
      </w:r>
      <w:r w:rsidRPr="00E04A13">
        <w:rPr>
          <w:lang w:val="en-GB"/>
        </w:rPr>
        <w:t>the US</w:t>
      </w:r>
      <w:r w:rsidR="007611DD">
        <w:rPr>
          <w:lang w:val="en-GB"/>
        </w:rPr>
        <w:t xml:space="preserve"> example</w:t>
      </w:r>
      <w:r w:rsidR="001A46FF" w:rsidRPr="00E04A13">
        <w:rPr>
          <w:lang w:val="en-GB"/>
        </w:rPr>
        <w:t>,</w:t>
      </w:r>
      <w:r w:rsidRPr="00E04A13">
        <w:rPr>
          <w:lang w:val="en-GB"/>
        </w:rPr>
        <w:t xml:space="preserve"> </w:t>
      </w:r>
      <w:r w:rsidR="001A46FF" w:rsidRPr="00E04A13">
        <w:rPr>
          <w:lang w:val="en-GB"/>
        </w:rPr>
        <w:t xml:space="preserve">where </w:t>
      </w:r>
      <w:r w:rsidR="0095139D">
        <w:rPr>
          <w:lang w:val="en-GB"/>
        </w:rPr>
        <w:t xml:space="preserve">modest </w:t>
      </w:r>
      <w:r w:rsidR="001A46FF" w:rsidRPr="00E04A13">
        <w:rPr>
          <w:lang w:val="en-GB"/>
        </w:rPr>
        <w:t>growth in Eco-Industries coincides with</w:t>
      </w:r>
      <w:r w:rsidRPr="00E04A13">
        <w:rPr>
          <w:lang w:val="en-GB"/>
        </w:rPr>
        <w:t xml:space="preserve"> limited </w:t>
      </w:r>
      <w:r w:rsidR="001A46FF" w:rsidRPr="00E04A13">
        <w:rPr>
          <w:lang w:val="en-GB"/>
        </w:rPr>
        <w:t xml:space="preserve">environmental policy ambition, at least at the </w:t>
      </w:r>
      <w:r w:rsidRPr="00E04A13">
        <w:rPr>
          <w:lang w:val="en-GB"/>
        </w:rPr>
        <w:t>national</w:t>
      </w:r>
      <w:r w:rsidR="001A46FF" w:rsidRPr="00E04A13">
        <w:rPr>
          <w:lang w:val="en-GB"/>
        </w:rPr>
        <w:t xml:space="preserve"> </w:t>
      </w:r>
      <w:r w:rsidRPr="00E04A13">
        <w:rPr>
          <w:lang w:val="en-GB"/>
        </w:rPr>
        <w:t>level</w:t>
      </w:r>
      <w:r w:rsidR="00D25CC7" w:rsidRPr="00E04A13">
        <w:rPr>
          <w:lang w:val="en-GB"/>
        </w:rPr>
        <w:t>.</w:t>
      </w:r>
      <w:r w:rsidR="001A46FF" w:rsidRPr="00E04A13">
        <w:rPr>
          <w:lang w:val="en-GB"/>
        </w:rPr>
        <w:t xml:space="preserve"> </w:t>
      </w:r>
    </w:p>
    <w:p w:rsidR="00D25CC7" w:rsidRPr="00E04A13" w:rsidRDefault="001A46FF" w:rsidP="005D7C19">
      <w:pPr>
        <w:rPr>
          <w:lang w:val="en-GB"/>
        </w:rPr>
      </w:pPr>
      <w:r w:rsidRPr="00E04A13">
        <w:rPr>
          <w:lang w:val="en-GB"/>
        </w:rPr>
        <w:t xml:space="preserve">One reason for a strong link between overall economic development and development of Eco-Industries is the </w:t>
      </w:r>
      <w:r w:rsidR="005F4A30">
        <w:rPr>
          <w:lang w:val="en-GB"/>
        </w:rPr>
        <w:t xml:space="preserve">predominantly </w:t>
      </w:r>
      <w:r w:rsidRPr="00E04A13">
        <w:rPr>
          <w:lang w:val="en-GB"/>
        </w:rPr>
        <w:t xml:space="preserve">local structure of many Eco-Industries. Even though equipment can be exported and imported, much of the value added of Eco-Industries is locally </w:t>
      </w:r>
      <w:proofErr w:type="gramStart"/>
      <w:r w:rsidRPr="00E04A13">
        <w:rPr>
          <w:lang w:val="en-GB"/>
        </w:rPr>
        <w:t>bound</w:t>
      </w:r>
      <w:proofErr w:type="gramEnd"/>
      <w:r w:rsidRPr="00E04A13">
        <w:rPr>
          <w:lang w:val="en-GB"/>
        </w:rPr>
        <w:t xml:space="preserve"> as installation and maintenance of appliances have to be provided </w:t>
      </w:r>
      <w:r w:rsidR="005F4A30">
        <w:rPr>
          <w:lang w:val="en-GB"/>
        </w:rPr>
        <w:t>regionally</w:t>
      </w:r>
      <w:r w:rsidRPr="00E04A13">
        <w:rPr>
          <w:lang w:val="en-GB"/>
        </w:rPr>
        <w:t>. This means that the economic effects of Eco-Industries can be substantial, even if there is no large domestic industry for the manufacture of equipment. But it also means that the local business climate,</w:t>
      </w:r>
      <w:r w:rsidR="00B174D1" w:rsidRPr="00E04A13">
        <w:rPr>
          <w:lang w:val="en-GB"/>
        </w:rPr>
        <w:t xml:space="preserve"> and propensity to invest, is an important factor for the growth in Eco-Industries</w:t>
      </w:r>
      <w:r w:rsidRPr="00E04A13">
        <w:rPr>
          <w:lang w:val="en-GB"/>
        </w:rPr>
        <w:t>.</w:t>
      </w:r>
    </w:p>
    <w:p w:rsidR="000D1D3E" w:rsidRPr="00E04A13" w:rsidRDefault="0051400E" w:rsidP="005D7C19">
      <w:pPr>
        <w:rPr>
          <w:lang w:val="en-GB"/>
        </w:rPr>
      </w:pPr>
      <w:r w:rsidRPr="00E04A13">
        <w:rPr>
          <w:lang w:val="en-GB"/>
        </w:rPr>
        <w:t>To examine the g</w:t>
      </w:r>
      <w:r w:rsidR="00A20152" w:rsidRPr="00E04A13">
        <w:rPr>
          <w:lang w:val="en-GB"/>
        </w:rPr>
        <w:t xml:space="preserve">rowth </w:t>
      </w:r>
      <w:r w:rsidRPr="00E04A13">
        <w:rPr>
          <w:lang w:val="en-GB"/>
        </w:rPr>
        <w:t xml:space="preserve">of </w:t>
      </w:r>
      <w:r w:rsidR="009775D7" w:rsidRPr="00E04A13">
        <w:rPr>
          <w:lang w:val="en-GB"/>
        </w:rPr>
        <w:t>Eco-Industries</w:t>
      </w:r>
      <w:r w:rsidRPr="00E04A13">
        <w:rPr>
          <w:lang w:val="en-GB"/>
        </w:rPr>
        <w:t>, we</w:t>
      </w:r>
      <w:r w:rsidR="00A20152" w:rsidRPr="00E04A13">
        <w:rPr>
          <w:lang w:val="en-GB"/>
        </w:rPr>
        <w:t xml:space="preserve"> </w:t>
      </w:r>
      <w:r w:rsidR="002141BB" w:rsidRPr="00E04A13">
        <w:rPr>
          <w:lang w:val="en-GB"/>
        </w:rPr>
        <w:t>focused on different sub sectors in the countries observed. While renewa</w:t>
      </w:r>
      <w:r w:rsidRPr="00E04A13">
        <w:rPr>
          <w:lang w:val="en-GB"/>
        </w:rPr>
        <w:t>b</w:t>
      </w:r>
      <w:r w:rsidR="002141BB" w:rsidRPr="00E04A13">
        <w:rPr>
          <w:lang w:val="en-GB"/>
        </w:rPr>
        <w:t>l</w:t>
      </w:r>
      <w:r w:rsidRPr="00E04A13">
        <w:rPr>
          <w:lang w:val="en-GB"/>
        </w:rPr>
        <w:t>e</w:t>
      </w:r>
      <w:r w:rsidR="002141BB" w:rsidRPr="00E04A13">
        <w:rPr>
          <w:lang w:val="en-GB"/>
        </w:rPr>
        <w:t xml:space="preserve"> energy was </w:t>
      </w:r>
      <w:r w:rsidR="00B174D1" w:rsidRPr="00E04A13">
        <w:rPr>
          <w:lang w:val="en-GB"/>
        </w:rPr>
        <w:t xml:space="preserve">an </w:t>
      </w:r>
      <w:r w:rsidR="002141BB" w:rsidRPr="00E04A13">
        <w:rPr>
          <w:lang w:val="en-GB"/>
        </w:rPr>
        <w:t xml:space="preserve">important </w:t>
      </w:r>
      <w:r w:rsidR="00B174D1" w:rsidRPr="00E04A13">
        <w:rPr>
          <w:lang w:val="en-GB"/>
        </w:rPr>
        <w:t xml:space="preserve">industry </w:t>
      </w:r>
      <w:r w:rsidR="002141BB" w:rsidRPr="00E04A13">
        <w:rPr>
          <w:lang w:val="en-GB"/>
        </w:rPr>
        <w:t>in nearly all countries, sometimes its i</w:t>
      </w:r>
      <w:r w:rsidR="00A20152" w:rsidRPr="00E04A13">
        <w:rPr>
          <w:lang w:val="en-GB"/>
        </w:rPr>
        <w:t>mportance was even eclipsed by</w:t>
      </w:r>
      <w:r w:rsidR="002141BB" w:rsidRPr="00E04A13">
        <w:rPr>
          <w:lang w:val="en-GB"/>
        </w:rPr>
        <w:t xml:space="preserve"> the classical environmental goods and services sector. One example of this was Poland</w:t>
      </w:r>
      <w:r w:rsidRPr="00E04A13">
        <w:rPr>
          <w:lang w:val="en-GB"/>
        </w:rPr>
        <w:t>,</w:t>
      </w:r>
      <w:r w:rsidR="002141BB" w:rsidRPr="00E04A13">
        <w:rPr>
          <w:lang w:val="en-GB"/>
        </w:rPr>
        <w:t xml:space="preserve"> where the EU structural funds were used to update the infrastructure in waste treatment, water treatment and air pollution leading to growth </w:t>
      </w:r>
      <w:r w:rsidR="00A20152" w:rsidRPr="00E04A13">
        <w:rPr>
          <w:lang w:val="en-GB"/>
        </w:rPr>
        <w:t>in</w:t>
      </w:r>
      <w:r w:rsidR="002141BB" w:rsidRPr="00E04A13">
        <w:rPr>
          <w:lang w:val="en-GB"/>
        </w:rPr>
        <w:t xml:space="preserve"> </w:t>
      </w:r>
      <w:r w:rsidR="009775D7" w:rsidRPr="00E04A13">
        <w:rPr>
          <w:lang w:val="en-GB"/>
        </w:rPr>
        <w:t>Eco-Industries</w:t>
      </w:r>
      <w:r w:rsidRPr="00E04A13">
        <w:rPr>
          <w:lang w:val="en-GB"/>
        </w:rPr>
        <w:t>; the case is the same in Mexico</w:t>
      </w:r>
      <w:r w:rsidR="00B174D1" w:rsidRPr="00E04A13">
        <w:rPr>
          <w:lang w:val="en-GB"/>
        </w:rPr>
        <w:t>.</w:t>
      </w:r>
      <w:r w:rsidR="002141BB" w:rsidRPr="00E04A13">
        <w:rPr>
          <w:lang w:val="en-GB"/>
        </w:rPr>
        <w:t xml:space="preserve"> These industries </w:t>
      </w:r>
      <w:r w:rsidR="00B174D1" w:rsidRPr="00E04A13">
        <w:rPr>
          <w:lang w:val="en-GB"/>
        </w:rPr>
        <w:t xml:space="preserve">may be less dynamic – and, possibly, less glamorous than the renewable energy industries, yet they </w:t>
      </w:r>
      <w:r w:rsidR="002141BB" w:rsidRPr="00E04A13">
        <w:rPr>
          <w:lang w:val="en-GB"/>
        </w:rPr>
        <w:t>s</w:t>
      </w:r>
      <w:r w:rsidR="00B174D1" w:rsidRPr="00E04A13">
        <w:rPr>
          <w:lang w:val="en-GB"/>
        </w:rPr>
        <w:t>t</w:t>
      </w:r>
      <w:r w:rsidR="002141BB" w:rsidRPr="00E04A13">
        <w:rPr>
          <w:lang w:val="en-GB"/>
        </w:rPr>
        <w:t xml:space="preserve">ill provide an important part of the value </w:t>
      </w:r>
      <w:r w:rsidR="00B174D1" w:rsidRPr="00E04A13">
        <w:rPr>
          <w:lang w:val="en-GB"/>
        </w:rPr>
        <w:t xml:space="preserve">added </w:t>
      </w:r>
      <w:r w:rsidR="002141BB" w:rsidRPr="00E04A13">
        <w:rPr>
          <w:lang w:val="en-GB"/>
        </w:rPr>
        <w:t xml:space="preserve">of </w:t>
      </w:r>
      <w:r w:rsidR="009775D7" w:rsidRPr="00E04A13">
        <w:rPr>
          <w:lang w:val="en-GB"/>
        </w:rPr>
        <w:t>Eco-Industries</w:t>
      </w:r>
      <w:r w:rsidR="002141BB" w:rsidRPr="00E04A13">
        <w:rPr>
          <w:lang w:val="en-GB"/>
        </w:rPr>
        <w:t>.</w:t>
      </w:r>
      <w:r w:rsidRPr="00E04A13">
        <w:rPr>
          <w:lang w:val="en-GB"/>
        </w:rPr>
        <w:t xml:space="preserve"> </w:t>
      </w:r>
      <w:r w:rsidR="002141BB" w:rsidRPr="00E04A13">
        <w:rPr>
          <w:lang w:val="en-GB"/>
        </w:rPr>
        <w:t xml:space="preserve"> </w:t>
      </w:r>
    </w:p>
    <w:p w:rsidR="002141BB" w:rsidRPr="00E04A13" w:rsidRDefault="00E17D16" w:rsidP="005D7C19">
      <w:pPr>
        <w:rPr>
          <w:lang w:val="en-GB"/>
        </w:rPr>
      </w:pPr>
      <w:r w:rsidRPr="00E04A13">
        <w:rPr>
          <w:lang w:val="en-GB"/>
        </w:rPr>
        <w:t xml:space="preserve">Using OECD data on patent applications for environment-related technologies, we also analysed the innovation performance of Eco-Industries. </w:t>
      </w:r>
      <w:r w:rsidR="001A34B8" w:rsidRPr="00E04A13">
        <w:rPr>
          <w:lang w:val="en-GB"/>
        </w:rPr>
        <w:t xml:space="preserve">According to the data, </w:t>
      </w:r>
      <w:r w:rsidR="0027518A" w:rsidRPr="00E04A13">
        <w:rPr>
          <w:lang w:val="en-GB"/>
        </w:rPr>
        <w:t>E</w:t>
      </w:r>
      <w:r w:rsidRPr="00E04A13">
        <w:rPr>
          <w:lang w:val="en-GB"/>
        </w:rPr>
        <w:t>co-Industries outperform</w:t>
      </w:r>
      <w:r w:rsidR="001A34B8" w:rsidRPr="00E04A13">
        <w:rPr>
          <w:lang w:val="en-GB"/>
        </w:rPr>
        <w:t>ed</w:t>
      </w:r>
      <w:r w:rsidRPr="00E04A13">
        <w:rPr>
          <w:lang w:val="en-GB"/>
        </w:rPr>
        <w:t xml:space="preserve"> the rest of the economy </w:t>
      </w:r>
      <w:r w:rsidR="00430CF0" w:rsidRPr="00E04A13">
        <w:rPr>
          <w:lang w:val="en-GB"/>
        </w:rPr>
        <w:t>in terms of patent applications</w:t>
      </w:r>
      <w:r w:rsidR="0027518A" w:rsidRPr="00E04A13">
        <w:rPr>
          <w:lang w:val="en-GB"/>
        </w:rPr>
        <w:t>,</w:t>
      </w:r>
      <w:r w:rsidRPr="00E04A13">
        <w:rPr>
          <w:lang w:val="en-GB"/>
        </w:rPr>
        <w:t xml:space="preserve"> especially since 2005, when patent applications for environmental technologies increase</w:t>
      </w:r>
      <w:r w:rsidR="00430CF0" w:rsidRPr="00E04A13">
        <w:rPr>
          <w:lang w:val="en-GB"/>
        </w:rPr>
        <w:t>d</w:t>
      </w:r>
      <w:r w:rsidRPr="00E04A13">
        <w:rPr>
          <w:lang w:val="en-GB"/>
        </w:rPr>
        <w:t xml:space="preserve"> markedly. Most of this </w:t>
      </w:r>
      <w:r w:rsidR="00430CF0" w:rsidRPr="00E04A13">
        <w:rPr>
          <w:lang w:val="en-GB"/>
        </w:rPr>
        <w:t>increase</w:t>
      </w:r>
      <w:r w:rsidRPr="00E04A13">
        <w:rPr>
          <w:lang w:val="en-GB"/>
        </w:rPr>
        <w:t xml:space="preserve"> stems from energy-related technologies (renewable energy technologies </w:t>
      </w:r>
      <w:r w:rsidR="00430CF0" w:rsidRPr="00E04A13">
        <w:rPr>
          <w:lang w:val="en-GB"/>
        </w:rPr>
        <w:t>and</w:t>
      </w:r>
      <w:r w:rsidRPr="00E04A13">
        <w:rPr>
          <w:lang w:val="en-GB"/>
        </w:rPr>
        <w:t xml:space="preserve"> energy efficiency); the performance of the classical environmental management technologies (such as water and air pollution abatement or waste management) is less dynamic. This increase in innovation activity is fairly consistent across countries – yet the overall distribution of patenting activity between countries is very unequal, with some (particular larger) countries featuring a large number of patent applications, and some (particularly smaller) countries hardly registering at all. In terms of the distribution of patenting activity beyond the EU, the </w:t>
      </w:r>
      <w:r w:rsidR="0027518A" w:rsidRPr="00E04A13">
        <w:rPr>
          <w:lang w:val="en-GB"/>
        </w:rPr>
        <w:t xml:space="preserve">big </w:t>
      </w:r>
      <w:r w:rsidRPr="00E04A13">
        <w:rPr>
          <w:lang w:val="en-GB"/>
        </w:rPr>
        <w:t xml:space="preserve">picture is that of a neck-to-neck race between the EU and the US, with advantages in some technologies for Europe, and in others for the US. China ranks much lower in terms of the absolute amount of patent applications, yet features very high growth rates in patent applications for many technologies, and could catch up with </w:t>
      </w:r>
      <w:r w:rsidR="00430CF0" w:rsidRPr="00E04A13">
        <w:rPr>
          <w:lang w:val="en-GB"/>
        </w:rPr>
        <w:t>Europe and the US in a decade or two if these trends persist.</w:t>
      </w:r>
      <w:r w:rsidR="0027518A" w:rsidRPr="00E04A13">
        <w:rPr>
          <w:lang w:val="en-GB"/>
        </w:rPr>
        <w:t xml:space="preserve"> In terms of annual renewable energy investment and systems manufacturing, China leads both the US and the EU.</w:t>
      </w:r>
    </w:p>
    <w:p w:rsidR="00FA63CA" w:rsidRPr="00E04A13" w:rsidRDefault="0051400E" w:rsidP="005D7C19">
      <w:pPr>
        <w:rPr>
          <w:lang w:val="en-GB"/>
        </w:rPr>
      </w:pPr>
      <w:r w:rsidRPr="00E04A13">
        <w:rPr>
          <w:lang w:val="en-GB"/>
        </w:rPr>
        <w:t xml:space="preserve">One key lesson from recent experience with Eco-Industries is that policymakers should not rely on a strict one-to-one relationship between investment </w:t>
      </w:r>
      <w:r w:rsidR="001E5859" w:rsidRPr="00E04A13">
        <w:rPr>
          <w:lang w:val="en-GB"/>
        </w:rPr>
        <w:t xml:space="preserve">volumes </w:t>
      </w:r>
      <w:r w:rsidRPr="00E04A13">
        <w:rPr>
          <w:lang w:val="en-GB"/>
        </w:rPr>
        <w:t xml:space="preserve">in Eco-Industries and </w:t>
      </w:r>
      <w:r w:rsidR="001E5859" w:rsidRPr="00E04A13">
        <w:rPr>
          <w:lang w:val="en-GB"/>
        </w:rPr>
        <w:t xml:space="preserve">green </w:t>
      </w:r>
      <w:r w:rsidRPr="00E04A13">
        <w:rPr>
          <w:lang w:val="en-GB"/>
        </w:rPr>
        <w:t>economy infrastructure and the permanent establishment of (global) market leaders in those Eco-Industries</w:t>
      </w:r>
      <w:r w:rsidR="001661DA" w:rsidRPr="00E04A13">
        <w:rPr>
          <w:lang w:val="en-GB"/>
        </w:rPr>
        <w:t xml:space="preserve">. </w:t>
      </w:r>
      <w:r w:rsidRPr="00E04A13">
        <w:rPr>
          <w:lang w:val="en-GB"/>
        </w:rPr>
        <w:t xml:space="preserve">While this has </w:t>
      </w:r>
      <w:r w:rsidR="001E5859" w:rsidRPr="00E04A13">
        <w:rPr>
          <w:lang w:val="en-GB"/>
        </w:rPr>
        <w:t xml:space="preserve">been achieved in </w:t>
      </w:r>
      <w:r w:rsidRPr="00E04A13">
        <w:rPr>
          <w:lang w:val="en-GB"/>
        </w:rPr>
        <w:t xml:space="preserve">some Eco-Industries, especially mass-produced, transportable products, this is not the case of every element of the value chain. </w:t>
      </w:r>
      <w:r w:rsidR="001E5859" w:rsidRPr="00E04A13">
        <w:rPr>
          <w:lang w:val="en-GB"/>
        </w:rPr>
        <w:t xml:space="preserve">Also, the example of solar </w:t>
      </w:r>
      <w:r w:rsidR="00AF7738">
        <w:rPr>
          <w:lang w:val="en-GB"/>
        </w:rPr>
        <w:t>photovoltaic</w:t>
      </w:r>
      <w:r w:rsidR="007F1B9B">
        <w:rPr>
          <w:lang w:val="en-GB"/>
        </w:rPr>
        <w:t xml:space="preserve"> (</w:t>
      </w:r>
      <w:r w:rsidR="001E5859" w:rsidRPr="00E04A13">
        <w:rPr>
          <w:lang w:val="en-GB"/>
        </w:rPr>
        <w:t>PV</w:t>
      </w:r>
      <w:r w:rsidR="007F1B9B">
        <w:rPr>
          <w:lang w:val="en-GB"/>
        </w:rPr>
        <w:t>)</w:t>
      </w:r>
      <w:r w:rsidR="001E5859" w:rsidRPr="00E04A13">
        <w:rPr>
          <w:lang w:val="en-GB"/>
        </w:rPr>
        <w:t xml:space="preserve"> manufacturing shows that industrial leadership always needs to </w:t>
      </w:r>
      <w:r w:rsidR="00710BA3">
        <w:rPr>
          <w:lang w:val="en-GB"/>
        </w:rPr>
        <w:t>be defended against competitors</w:t>
      </w:r>
      <w:r w:rsidR="001E5859" w:rsidRPr="00E04A13">
        <w:rPr>
          <w:lang w:val="en-GB"/>
        </w:rPr>
        <w:t xml:space="preserve"> and may erode very quickly. Yet the important observation is that international competition will only affect part of the value chain, particularly the manufacturing equipment. While it may be desirable for different reasons to have international champions in the Eco-Industries operating out of Europe, it is also true that most of the value added and employment is generated by other activities, such as the planning, installation or maintenance of equipment. Thus</w:t>
      </w:r>
      <w:r w:rsidRPr="00E04A13">
        <w:rPr>
          <w:lang w:val="en-GB"/>
        </w:rPr>
        <w:t xml:space="preserve">, local and regional employment effects from investment in Eco-Industries </w:t>
      </w:r>
      <w:r w:rsidR="0027518A" w:rsidRPr="00E04A13">
        <w:rPr>
          <w:lang w:val="en-GB"/>
        </w:rPr>
        <w:t xml:space="preserve">remain </w:t>
      </w:r>
      <w:r w:rsidRPr="00E04A13">
        <w:rPr>
          <w:lang w:val="en-GB"/>
        </w:rPr>
        <w:t>robust</w:t>
      </w:r>
      <w:r w:rsidR="0027518A" w:rsidRPr="00E04A13">
        <w:rPr>
          <w:lang w:val="en-GB"/>
        </w:rPr>
        <w:t xml:space="preserve"> regardless of where equipment is manufactured</w:t>
      </w:r>
      <w:r w:rsidRPr="00E04A13">
        <w:rPr>
          <w:lang w:val="en-GB"/>
        </w:rPr>
        <w:t>; b</w:t>
      </w:r>
      <w:r w:rsidR="001661DA" w:rsidRPr="00E04A13">
        <w:rPr>
          <w:lang w:val="en-GB"/>
        </w:rPr>
        <w:t xml:space="preserve">y tailoring government support in a way that encourages innovation </w:t>
      </w:r>
      <w:r w:rsidRPr="00E04A13">
        <w:rPr>
          <w:lang w:val="en-GB"/>
        </w:rPr>
        <w:t xml:space="preserve">and investment </w:t>
      </w:r>
      <w:r w:rsidR="001661DA" w:rsidRPr="00E04A13">
        <w:rPr>
          <w:lang w:val="en-GB"/>
        </w:rPr>
        <w:t xml:space="preserve">the EU can create </w:t>
      </w:r>
      <w:r w:rsidR="00A20152" w:rsidRPr="00E04A13">
        <w:rPr>
          <w:lang w:val="en-GB"/>
        </w:rPr>
        <w:t>sustainably</w:t>
      </w:r>
      <w:r w:rsidR="001661DA" w:rsidRPr="00E04A13">
        <w:rPr>
          <w:lang w:val="en-GB"/>
        </w:rPr>
        <w:t xml:space="preserve"> </w:t>
      </w:r>
      <w:r w:rsidR="00A20152" w:rsidRPr="00E04A13">
        <w:rPr>
          <w:lang w:val="en-GB"/>
        </w:rPr>
        <w:t>competitive</w:t>
      </w:r>
      <w:r w:rsidR="001661DA" w:rsidRPr="00E04A13">
        <w:rPr>
          <w:lang w:val="en-GB"/>
        </w:rPr>
        <w:t xml:space="preserve"> jobs in the </w:t>
      </w:r>
      <w:r w:rsidR="001E5859" w:rsidRPr="00E04A13">
        <w:rPr>
          <w:lang w:val="en-GB"/>
        </w:rPr>
        <w:t>Eco-I</w:t>
      </w:r>
      <w:r w:rsidR="001661DA" w:rsidRPr="00E04A13">
        <w:rPr>
          <w:lang w:val="en-GB"/>
        </w:rPr>
        <w:t>ndustries</w:t>
      </w:r>
      <w:r w:rsidRPr="00E04A13">
        <w:rPr>
          <w:lang w:val="en-GB"/>
        </w:rPr>
        <w:t>; it just will not be able to capture all manufacturing value-added and employment.</w:t>
      </w:r>
    </w:p>
    <w:p w:rsidR="005D7C19" w:rsidRPr="0078734B" w:rsidRDefault="00A20152" w:rsidP="0078734B">
      <w:pPr>
        <w:rPr>
          <w:lang w:val="en-GB"/>
        </w:rPr>
      </w:pPr>
      <w:r w:rsidRPr="00E04A13">
        <w:rPr>
          <w:lang w:val="en-GB"/>
        </w:rPr>
        <w:t xml:space="preserve">Many </w:t>
      </w:r>
      <w:r w:rsidR="0051400E" w:rsidRPr="00E04A13">
        <w:rPr>
          <w:lang w:val="en-GB"/>
        </w:rPr>
        <w:t xml:space="preserve">of the most </w:t>
      </w:r>
      <w:r w:rsidRPr="00E04A13">
        <w:rPr>
          <w:lang w:val="en-GB"/>
        </w:rPr>
        <w:t xml:space="preserve">successful government interventions </w:t>
      </w:r>
      <w:r w:rsidR="0051400E" w:rsidRPr="00E04A13">
        <w:rPr>
          <w:lang w:val="en-GB"/>
        </w:rPr>
        <w:t xml:space="preserve">have been investment </w:t>
      </w:r>
      <w:r w:rsidR="001661DA" w:rsidRPr="00E04A13">
        <w:rPr>
          <w:lang w:val="en-GB"/>
        </w:rPr>
        <w:t xml:space="preserve">support schemes, which provided investors with a high degree of </w:t>
      </w:r>
      <w:r w:rsidR="0051400E" w:rsidRPr="00E04A13">
        <w:rPr>
          <w:lang w:val="en-GB"/>
        </w:rPr>
        <w:t xml:space="preserve">investment </w:t>
      </w:r>
      <w:r w:rsidR="001661DA" w:rsidRPr="00E04A13">
        <w:rPr>
          <w:lang w:val="en-GB"/>
        </w:rPr>
        <w:t xml:space="preserve">certainty. Especially in difficult economic times, governments can induce significant private investment in the </w:t>
      </w:r>
      <w:r w:rsidR="001E5859" w:rsidRPr="00E04A13">
        <w:rPr>
          <w:lang w:val="en-GB"/>
        </w:rPr>
        <w:t xml:space="preserve">Eco-Industries </w:t>
      </w:r>
      <w:r w:rsidR="001661DA" w:rsidRPr="00E04A13">
        <w:rPr>
          <w:lang w:val="en-GB"/>
        </w:rPr>
        <w:t xml:space="preserve">by providing the certainty that investors cannot get elsewhere. </w:t>
      </w:r>
    </w:p>
    <w:p w:rsidR="00EE4563" w:rsidRPr="00E04A13" w:rsidRDefault="008D1804" w:rsidP="006F6028">
      <w:pPr>
        <w:pStyle w:val="Heading1"/>
        <w:spacing w:before="480" w:afterLines="150"/>
        <w:rPr>
          <w:lang w:val="en-GB"/>
        </w:rPr>
      </w:pPr>
      <w:bookmarkStart w:id="1" w:name="_Toc251626628"/>
      <w:r w:rsidRPr="00E04A13">
        <w:rPr>
          <w:lang w:val="en-GB"/>
        </w:rPr>
        <w:t>Introduction</w:t>
      </w:r>
      <w:bookmarkEnd w:id="1"/>
    </w:p>
    <w:p w:rsidR="00251C48" w:rsidRPr="00E04A13" w:rsidRDefault="00251C48" w:rsidP="00251C48">
      <w:pPr>
        <w:rPr>
          <w:lang w:val="en-GB"/>
        </w:rPr>
      </w:pPr>
      <w:r w:rsidRPr="00E04A13">
        <w:rPr>
          <w:lang w:val="en-GB"/>
        </w:rPr>
        <w:t xml:space="preserve">According to OECD and </w:t>
      </w:r>
      <w:proofErr w:type="spellStart"/>
      <w:r w:rsidRPr="00E04A13">
        <w:rPr>
          <w:lang w:val="en-GB"/>
        </w:rPr>
        <w:t>Eurostat</w:t>
      </w:r>
      <w:proofErr w:type="spellEnd"/>
      <w:r w:rsidRPr="00E04A13">
        <w:rPr>
          <w:lang w:val="en-GB"/>
        </w:rPr>
        <w:t xml:space="preserve">, </w:t>
      </w:r>
      <w:r w:rsidR="009775D7" w:rsidRPr="00E04A13">
        <w:rPr>
          <w:lang w:val="en-GB"/>
        </w:rPr>
        <w:t>Eco-Industries</w:t>
      </w:r>
      <w:r w:rsidRPr="00E04A13">
        <w:rPr>
          <w:lang w:val="en-GB"/>
        </w:rPr>
        <w:t xml:space="preserve"> are “activities which produce goods and services to measure, prevent, limit, minimise or correct environmental damage to water, air and soil, as well as problems related to waste, noise and eco-systems. This includes technologies, products and services that reduce environmental risk and minimize pollution and resources”</w:t>
      </w:r>
      <w:r w:rsidR="00BF64CC" w:rsidRPr="00E04A13">
        <w:rPr>
          <w:lang w:val="en-GB"/>
        </w:rPr>
        <w:t>.</w:t>
      </w:r>
      <w:r w:rsidR="00B174D1" w:rsidRPr="00E04A13">
        <w:rPr>
          <w:rStyle w:val="FootnoteReference"/>
          <w:lang w:val="en-GB"/>
        </w:rPr>
        <w:footnoteReference w:id="1"/>
      </w:r>
      <w:r w:rsidRPr="00E04A13">
        <w:rPr>
          <w:lang w:val="en-GB"/>
        </w:rPr>
        <w:t xml:space="preserve"> </w:t>
      </w:r>
      <w:r w:rsidR="00CB721A" w:rsidRPr="00E04A13">
        <w:rPr>
          <w:lang w:val="en-GB"/>
        </w:rPr>
        <w:t xml:space="preserve">Eco-Industries are more than renewable electricity hardware, energy efficiency improvements, electric vehicles, and advanced </w:t>
      </w:r>
      <w:proofErr w:type="spellStart"/>
      <w:r w:rsidR="00CB721A" w:rsidRPr="00E04A13">
        <w:rPr>
          <w:lang w:val="en-GB"/>
        </w:rPr>
        <w:t>biofuels</w:t>
      </w:r>
      <w:proofErr w:type="spellEnd"/>
      <w:r w:rsidR="00CB721A" w:rsidRPr="00E04A13">
        <w:rPr>
          <w:lang w:val="en-GB"/>
        </w:rPr>
        <w:t>. In fact, many of the categories contained under Eco-Industries are established and robust industries (like wastewater management) that require significant capital investments and employ large numbers of people.</w:t>
      </w:r>
    </w:p>
    <w:p w:rsidR="00CB721A" w:rsidRPr="00E04A13" w:rsidRDefault="00251C48" w:rsidP="008D1804">
      <w:pPr>
        <w:rPr>
          <w:lang w:val="en-GB"/>
        </w:rPr>
      </w:pPr>
      <w:r w:rsidRPr="00E04A13">
        <w:rPr>
          <w:lang w:val="en-GB"/>
        </w:rPr>
        <w:t xml:space="preserve">The </w:t>
      </w:r>
      <w:r w:rsidR="00CB721A" w:rsidRPr="00E04A13">
        <w:rPr>
          <w:lang w:val="en-GB"/>
        </w:rPr>
        <w:t xml:space="preserve">European Union and its Member States have identified Eco-Industries as an important pillar of growth and international competitiveness in the near- and medium-term. In this, the EU is not alone, as policymakers in China, the USA, and other global competitors have also recognized the importance and (export) growth potential of Eco-Industries. </w:t>
      </w:r>
    </w:p>
    <w:p w:rsidR="00251C48" w:rsidRPr="00E04A13" w:rsidRDefault="00CB721A" w:rsidP="008D1804">
      <w:pPr>
        <w:rPr>
          <w:lang w:val="en-GB"/>
        </w:rPr>
      </w:pPr>
      <w:r w:rsidRPr="00E04A13">
        <w:rPr>
          <w:lang w:val="en-GB"/>
        </w:rPr>
        <w:t xml:space="preserve">This study </w:t>
      </w:r>
      <w:r w:rsidR="009775D7" w:rsidRPr="00E04A13">
        <w:rPr>
          <w:lang w:val="en-GB"/>
        </w:rPr>
        <w:t>can build on</w:t>
      </w:r>
      <w:r w:rsidRPr="00E04A13">
        <w:rPr>
          <w:lang w:val="en-GB"/>
        </w:rPr>
        <w:t xml:space="preserve"> previous research assessing the size and robustness of European Eco-Industries. A 2009 </w:t>
      </w:r>
      <w:r w:rsidR="00251C48" w:rsidRPr="00E04A13">
        <w:rPr>
          <w:lang w:val="en-GB"/>
        </w:rPr>
        <w:t xml:space="preserve">study </w:t>
      </w:r>
      <w:r w:rsidRPr="00E04A13">
        <w:rPr>
          <w:lang w:val="en-GB"/>
        </w:rPr>
        <w:t xml:space="preserve">on Eco-Industries </w:t>
      </w:r>
      <w:r w:rsidR="00251C48" w:rsidRPr="00E04A13">
        <w:rPr>
          <w:lang w:val="en-GB"/>
        </w:rPr>
        <w:t>is</w:t>
      </w:r>
      <w:r w:rsidR="008D1804" w:rsidRPr="00E04A13">
        <w:rPr>
          <w:lang w:val="en-GB"/>
        </w:rPr>
        <w:t xml:space="preserve"> highlighted by the European Commission on its website</w:t>
      </w:r>
      <w:r w:rsidRPr="00E04A13">
        <w:rPr>
          <w:lang w:val="en-GB"/>
        </w:rPr>
        <w:t>:</w:t>
      </w:r>
      <w:r w:rsidR="008D1804" w:rsidRPr="00E04A13">
        <w:rPr>
          <w:lang w:val="en-GB"/>
        </w:rPr>
        <w:t xml:space="preserve"> </w:t>
      </w:r>
    </w:p>
    <w:p w:rsidR="008D1804" w:rsidRPr="00E04A13" w:rsidRDefault="008D1804" w:rsidP="00251C48">
      <w:pPr>
        <w:ind w:left="708"/>
        <w:rPr>
          <w:lang w:val="en-GB"/>
        </w:rPr>
      </w:pPr>
      <w:r w:rsidRPr="00E04A13">
        <w:rPr>
          <w:lang w:val="en-GB"/>
        </w:rPr>
        <w:t>"</w:t>
      </w:r>
      <w:proofErr w:type="gramStart"/>
      <w:r w:rsidRPr="00E04A13">
        <w:rPr>
          <w:lang w:val="en-GB"/>
        </w:rPr>
        <w:t>in</w:t>
      </w:r>
      <w:proofErr w:type="gramEnd"/>
      <w:r w:rsidRPr="00E04A13">
        <w:rPr>
          <w:lang w:val="en-GB"/>
        </w:rPr>
        <w:t xml:space="preserve"> 2008, the EU eco-industry provided 4 million jobs. With a turnover of €300 billion and a growth rate of 8% a year, eco-industries are a key contributor to the Europe 2020 strategy for smart, sustainable and inclusive growth.</w:t>
      </w:r>
      <w:r w:rsidR="00251C48" w:rsidRPr="00E04A13">
        <w:rPr>
          <w:lang w:val="en-GB"/>
        </w:rPr>
        <w:t xml:space="preserve"> </w:t>
      </w:r>
      <w:r w:rsidRPr="00E04A13">
        <w:rPr>
          <w:lang w:val="en-GB"/>
        </w:rPr>
        <w:t xml:space="preserve">Europe is leading the way globally in exploiting technological and economic opportunities in eco-industry. It is ahead in recycling with a 50% market share, water supply with 30% and renewable energy with 40%. However, in certain areas, global competitors are in a better position. While the EU focuses on pollution abatement, waste management and integrated chain management, Japan and the USA concentrate on hardware development and eco-design, enabling them to take the lead in hybrid cars, cradle-to-cradle approach and eco-design." </w:t>
      </w:r>
    </w:p>
    <w:p w:rsidR="00CB721A" w:rsidRPr="00E04A13" w:rsidRDefault="00251C48" w:rsidP="008D1804">
      <w:pPr>
        <w:rPr>
          <w:lang w:val="en-GB"/>
        </w:rPr>
      </w:pPr>
      <w:r w:rsidRPr="00E04A13">
        <w:rPr>
          <w:lang w:val="en-GB"/>
        </w:rPr>
        <w:t>This</w:t>
      </w:r>
      <w:r w:rsidR="006454DB" w:rsidRPr="00E04A13">
        <w:rPr>
          <w:lang w:val="en-GB"/>
        </w:rPr>
        <w:t xml:space="preserve"> </w:t>
      </w:r>
      <w:r w:rsidR="00ED72E3" w:rsidRPr="00E04A13">
        <w:rPr>
          <w:lang w:val="en-GB"/>
        </w:rPr>
        <w:t>study provides</w:t>
      </w:r>
      <w:r w:rsidR="000B10D3" w:rsidRPr="00E04A13">
        <w:rPr>
          <w:lang w:val="en-GB"/>
        </w:rPr>
        <w:t xml:space="preserve"> an overview on how the </w:t>
      </w:r>
      <w:r w:rsidR="009775D7" w:rsidRPr="00E04A13">
        <w:rPr>
          <w:lang w:val="en-GB"/>
        </w:rPr>
        <w:t>Eco-Industries</w:t>
      </w:r>
      <w:r w:rsidR="000B10D3" w:rsidRPr="00E04A13">
        <w:rPr>
          <w:lang w:val="en-GB"/>
        </w:rPr>
        <w:t xml:space="preserve"> have developed </w:t>
      </w:r>
      <w:r w:rsidR="00CB721A" w:rsidRPr="00E04A13">
        <w:rPr>
          <w:lang w:val="en-GB"/>
        </w:rPr>
        <w:t xml:space="preserve">in five European countries </w:t>
      </w:r>
      <w:r w:rsidR="000B10D3" w:rsidRPr="00E04A13">
        <w:rPr>
          <w:lang w:val="en-GB"/>
        </w:rPr>
        <w:t xml:space="preserve">over the last six years and whether their competitive position has been strengthened or weakened. </w:t>
      </w:r>
      <w:r w:rsidR="00CB721A" w:rsidRPr="00E04A13">
        <w:rPr>
          <w:lang w:val="en-GB"/>
        </w:rPr>
        <w:t xml:space="preserve">The study provides an internal assessment of the situation in Europe, allowing for inter-country comparisons. Further, it assesses the performance of three non-EU countries: China, Mexico, and the USA. These countries were selected for their different economic compositions (which allow for comparisons either to the EU as a whole or individual Member States), but also due to the size of their Eco-Industry sectors, which generally tracked values in the EU. </w:t>
      </w:r>
      <w:r w:rsidR="00B46A29" w:rsidRPr="00E04A13">
        <w:rPr>
          <w:lang w:val="en-GB"/>
        </w:rPr>
        <w:t xml:space="preserve">For </w:t>
      </w:r>
      <w:r w:rsidR="00CB721A" w:rsidRPr="00E04A13">
        <w:rPr>
          <w:lang w:val="en-GB"/>
        </w:rPr>
        <w:t xml:space="preserve">these </w:t>
      </w:r>
      <w:r w:rsidR="00B46A29" w:rsidRPr="00E04A13">
        <w:rPr>
          <w:lang w:val="en-GB"/>
        </w:rPr>
        <w:t>eight countries</w:t>
      </w:r>
      <w:r w:rsidR="00CB721A" w:rsidRPr="00E04A13">
        <w:rPr>
          <w:lang w:val="en-GB"/>
        </w:rPr>
        <w:t>,</w:t>
      </w:r>
      <w:r w:rsidR="00B46A29" w:rsidRPr="00E04A13">
        <w:rPr>
          <w:lang w:val="en-GB"/>
        </w:rPr>
        <w:t xml:space="preserve"> the main driving factors of Eco industry growth were assessed and summarised. </w:t>
      </w:r>
      <w:r w:rsidR="00CB721A" w:rsidRPr="00E04A13">
        <w:rPr>
          <w:lang w:val="en-GB"/>
        </w:rPr>
        <w:t xml:space="preserve">The sectors where a country’s Eco-Industries have established market leadership positions are highlighted, as are areas of weakness or those in need of improvement. The report also develops recommendations for supporting further growth in </w:t>
      </w:r>
      <w:r w:rsidR="009775D7" w:rsidRPr="00E04A13">
        <w:rPr>
          <w:lang w:val="en-GB"/>
        </w:rPr>
        <w:t>Eco-Industries</w:t>
      </w:r>
      <w:r w:rsidR="00CB721A" w:rsidRPr="00E04A13">
        <w:rPr>
          <w:lang w:val="en-GB"/>
        </w:rPr>
        <w:t xml:space="preserve"> in the assessment countries.</w:t>
      </w:r>
    </w:p>
    <w:p w:rsidR="006454DB" w:rsidRPr="00E04A13" w:rsidRDefault="00CB721A" w:rsidP="008D1804">
      <w:pPr>
        <w:rPr>
          <w:lang w:val="en-GB"/>
        </w:rPr>
      </w:pPr>
      <w:r w:rsidRPr="00E04A13">
        <w:rPr>
          <w:lang w:val="en-GB"/>
        </w:rPr>
        <w:t>The contents of the report are divided as follows:</w:t>
      </w:r>
      <w:r w:rsidR="007942FA" w:rsidRPr="00E04A13">
        <w:rPr>
          <w:lang w:val="en-GB"/>
        </w:rPr>
        <w:t xml:space="preserve"> </w:t>
      </w:r>
    </w:p>
    <w:p w:rsidR="000B10D3" w:rsidRPr="00E04A13" w:rsidRDefault="000B10D3" w:rsidP="007942FA">
      <w:pPr>
        <w:pStyle w:val="ListParagraph"/>
        <w:numPr>
          <w:ilvl w:val="0"/>
          <w:numId w:val="26"/>
        </w:numPr>
        <w:rPr>
          <w:lang w:val="en-GB"/>
        </w:rPr>
      </w:pPr>
      <w:r w:rsidRPr="00E04A13">
        <w:rPr>
          <w:lang w:val="en-GB"/>
        </w:rPr>
        <w:t>Chapter 2 describes the data source of the report</w:t>
      </w:r>
      <w:r w:rsidR="00CB721A" w:rsidRPr="00E04A13">
        <w:rPr>
          <w:lang w:val="en-GB"/>
        </w:rPr>
        <w:t>;</w:t>
      </w:r>
      <w:r w:rsidRPr="00E04A13">
        <w:rPr>
          <w:lang w:val="en-GB"/>
        </w:rPr>
        <w:t xml:space="preserve"> </w:t>
      </w:r>
    </w:p>
    <w:p w:rsidR="000B10D3" w:rsidRPr="00E04A13" w:rsidRDefault="000B10D3" w:rsidP="007942FA">
      <w:pPr>
        <w:pStyle w:val="ListParagraph"/>
        <w:numPr>
          <w:ilvl w:val="0"/>
          <w:numId w:val="26"/>
        </w:numPr>
        <w:rPr>
          <w:lang w:val="en-GB"/>
        </w:rPr>
      </w:pPr>
      <w:r w:rsidRPr="00E04A13">
        <w:rPr>
          <w:lang w:val="en-GB"/>
        </w:rPr>
        <w:t xml:space="preserve">Chapter 3 summarizes the development of </w:t>
      </w:r>
      <w:r w:rsidR="009775D7" w:rsidRPr="00E04A13">
        <w:rPr>
          <w:lang w:val="en-GB"/>
        </w:rPr>
        <w:t>Eco-Industries</w:t>
      </w:r>
      <w:r w:rsidRPr="00E04A13">
        <w:rPr>
          <w:lang w:val="en-GB"/>
        </w:rPr>
        <w:t xml:space="preserve"> in Europe and the world</w:t>
      </w:r>
      <w:r w:rsidR="00CB721A" w:rsidRPr="00E04A13">
        <w:rPr>
          <w:lang w:val="en-GB"/>
        </w:rPr>
        <w:t>;</w:t>
      </w:r>
      <w:r w:rsidRPr="00E04A13">
        <w:rPr>
          <w:lang w:val="en-GB"/>
        </w:rPr>
        <w:t xml:space="preserve"> </w:t>
      </w:r>
    </w:p>
    <w:p w:rsidR="000B10D3" w:rsidRPr="00E04A13" w:rsidRDefault="000B10D3" w:rsidP="007942FA">
      <w:pPr>
        <w:pStyle w:val="ListParagraph"/>
        <w:numPr>
          <w:ilvl w:val="0"/>
          <w:numId w:val="26"/>
        </w:numPr>
        <w:rPr>
          <w:lang w:val="en-GB"/>
        </w:rPr>
      </w:pPr>
      <w:r w:rsidRPr="00E04A13">
        <w:rPr>
          <w:lang w:val="en-GB"/>
        </w:rPr>
        <w:t xml:space="preserve">Chapter 4 provides an overview on innovation in </w:t>
      </w:r>
      <w:r w:rsidR="009775D7" w:rsidRPr="00E04A13">
        <w:rPr>
          <w:lang w:val="en-GB"/>
        </w:rPr>
        <w:t>Eco-Industries</w:t>
      </w:r>
      <w:r w:rsidR="00CB721A" w:rsidRPr="00E04A13">
        <w:rPr>
          <w:lang w:val="en-GB"/>
        </w:rPr>
        <w:t>;</w:t>
      </w:r>
      <w:r w:rsidRPr="00E04A13">
        <w:rPr>
          <w:lang w:val="en-GB"/>
        </w:rPr>
        <w:t xml:space="preserve"> </w:t>
      </w:r>
      <w:r w:rsidR="0027518A" w:rsidRPr="00E04A13">
        <w:rPr>
          <w:lang w:val="en-GB"/>
        </w:rPr>
        <w:t>and</w:t>
      </w:r>
    </w:p>
    <w:p w:rsidR="008D1804" w:rsidRPr="00E04A13" w:rsidRDefault="000B10D3" w:rsidP="004F1AE2">
      <w:pPr>
        <w:pStyle w:val="ListParagraph"/>
        <w:numPr>
          <w:ilvl w:val="0"/>
          <w:numId w:val="26"/>
        </w:numPr>
        <w:rPr>
          <w:lang w:val="en-GB"/>
        </w:rPr>
      </w:pPr>
      <w:r w:rsidRPr="00E04A13">
        <w:rPr>
          <w:lang w:val="en-GB"/>
        </w:rPr>
        <w:t xml:space="preserve">Chapter 5 summarises </w:t>
      </w:r>
      <w:r w:rsidR="00251C48" w:rsidRPr="00E04A13">
        <w:rPr>
          <w:lang w:val="en-GB"/>
        </w:rPr>
        <w:t xml:space="preserve">and highlights the development of </w:t>
      </w:r>
      <w:r w:rsidR="009775D7" w:rsidRPr="00E04A13">
        <w:rPr>
          <w:lang w:val="en-GB"/>
        </w:rPr>
        <w:t>Eco-Industries</w:t>
      </w:r>
      <w:r w:rsidR="00251C48" w:rsidRPr="00E04A13">
        <w:rPr>
          <w:lang w:val="en-GB"/>
        </w:rPr>
        <w:t xml:space="preserve"> </w:t>
      </w:r>
      <w:r w:rsidRPr="00E04A13">
        <w:rPr>
          <w:lang w:val="en-GB"/>
        </w:rPr>
        <w:t xml:space="preserve">in </w:t>
      </w:r>
      <w:r w:rsidR="00CB721A" w:rsidRPr="00E04A13">
        <w:rPr>
          <w:lang w:val="en-GB"/>
        </w:rPr>
        <w:t xml:space="preserve">the </w:t>
      </w:r>
      <w:r w:rsidRPr="00E04A13">
        <w:rPr>
          <w:lang w:val="en-GB"/>
        </w:rPr>
        <w:t xml:space="preserve">eight </w:t>
      </w:r>
      <w:r w:rsidR="00251C48" w:rsidRPr="00E04A13">
        <w:rPr>
          <w:lang w:val="en-GB"/>
        </w:rPr>
        <w:t xml:space="preserve">sample </w:t>
      </w:r>
      <w:r w:rsidRPr="00E04A13">
        <w:rPr>
          <w:lang w:val="en-GB"/>
        </w:rPr>
        <w:t>countries</w:t>
      </w:r>
      <w:r w:rsidR="00251C48" w:rsidRPr="00E04A13">
        <w:rPr>
          <w:lang w:val="en-GB"/>
        </w:rPr>
        <w:t xml:space="preserve">. </w:t>
      </w:r>
    </w:p>
    <w:p w:rsidR="00251C48" w:rsidRPr="00E04A13" w:rsidRDefault="00251C48" w:rsidP="0078734B">
      <w:pPr>
        <w:rPr>
          <w:kern w:val="32"/>
          <w:lang w:val="en-GB"/>
        </w:rPr>
      </w:pPr>
    </w:p>
    <w:p w:rsidR="0058553A" w:rsidRPr="00E04A13" w:rsidRDefault="0058553A" w:rsidP="0058553A">
      <w:pPr>
        <w:pStyle w:val="Heading1"/>
        <w:spacing w:before="480"/>
        <w:rPr>
          <w:lang w:val="en-GB"/>
        </w:rPr>
      </w:pPr>
      <w:bookmarkStart w:id="2" w:name="_Toc251626629"/>
      <w:r w:rsidRPr="00E04A13">
        <w:rPr>
          <w:lang w:val="en-GB"/>
        </w:rPr>
        <w:t>Data source</w:t>
      </w:r>
      <w:bookmarkEnd w:id="2"/>
    </w:p>
    <w:p w:rsidR="0058553A" w:rsidRPr="00E04A13" w:rsidRDefault="00974BBB" w:rsidP="0058553A">
      <w:pPr>
        <w:rPr>
          <w:lang w:val="en-GB"/>
        </w:rPr>
      </w:pPr>
      <w:r w:rsidRPr="00E04A13">
        <w:rPr>
          <w:lang w:val="en-GB"/>
        </w:rPr>
        <w:t xml:space="preserve">Assessing Eco-Industries across countries in the EU and internationally presents predictable data gathering and comparability challenges. </w:t>
      </w:r>
      <w:r w:rsidR="0027518A" w:rsidRPr="00E04A13">
        <w:rPr>
          <w:lang w:val="en-GB"/>
        </w:rPr>
        <w:t xml:space="preserve">One </w:t>
      </w:r>
      <w:r w:rsidR="0058553A" w:rsidRPr="00E04A13">
        <w:rPr>
          <w:lang w:val="en-GB"/>
        </w:rPr>
        <w:t xml:space="preserve">major challenge </w:t>
      </w:r>
      <w:r w:rsidR="00222AA8" w:rsidRPr="00E04A13">
        <w:rPr>
          <w:lang w:val="en-GB"/>
        </w:rPr>
        <w:t xml:space="preserve">is </w:t>
      </w:r>
      <w:r w:rsidR="00EA7A58" w:rsidRPr="00E04A13">
        <w:rPr>
          <w:lang w:val="en-GB"/>
        </w:rPr>
        <w:t xml:space="preserve">the identification of </w:t>
      </w:r>
      <w:r w:rsidR="0058553A" w:rsidRPr="00E04A13">
        <w:rPr>
          <w:lang w:val="en-GB"/>
        </w:rPr>
        <w:t>a data</w:t>
      </w:r>
      <w:r w:rsidRPr="00E04A13">
        <w:rPr>
          <w:lang w:val="en-GB"/>
        </w:rPr>
        <w:t xml:space="preserve">set </w:t>
      </w:r>
      <w:r w:rsidR="00222AA8" w:rsidRPr="00E04A13">
        <w:rPr>
          <w:lang w:val="en-GB"/>
        </w:rPr>
        <w:t xml:space="preserve">capable of </w:t>
      </w:r>
      <w:r w:rsidR="0058553A" w:rsidRPr="00E04A13">
        <w:rPr>
          <w:lang w:val="en-GB"/>
        </w:rPr>
        <w:t>provid</w:t>
      </w:r>
      <w:r w:rsidRPr="00E04A13">
        <w:rPr>
          <w:lang w:val="en-GB"/>
        </w:rPr>
        <w:t>ing</w:t>
      </w:r>
      <w:r w:rsidR="0058553A" w:rsidRPr="00E04A13">
        <w:rPr>
          <w:lang w:val="en-GB"/>
        </w:rPr>
        <w:t xml:space="preserve"> comparable statistics for </w:t>
      </w:r>
      <w:r w:rsidRPr="00E04A13">
        <w:rPr>
          <w:lang w:val="en-GB"/>
        </w:rPr>
        <w:t>a number of</w:t>
      </w:r>
      <w:r w:rsidR="0058553A" w:rsidRPr="00E04A13">
        <w:rPr>
          <w:lang w:val="en-GB"/>
        </w:rPr>
        <w:t xml:space="preserve"> relevant countries</w:t>
      </w:r>
      <w:r w:rsidR="00222AA8" w:rsidRPr="00E04A13">
        <w:rPr>
          <w:lang w:val="en-GB"/>
        </w:rPr>
        <w:t>.</w:t>
      </w:r>
      <w:r w:rsidRPr="00E04A13">
        <w:rPr>
          <w:lang w:val="en-GB"/>
        </w:rPr>
        <w:t xml:space="preserve"> A</w:t>
      </w:r>
      <w:r w:rsidR="0058553A" w:rsidRPr="00E04A13">
        <w:rPr>
          <w:lang w:val="en-GB"/>
        </w:rPr>
        <w:t>s the definitions of environmental goods and services differ</w:t>
      </w:r>
      <w:r w:rsidRPr="00E04A13">
        <w:rPr>
          <w:lang w:val="en-GB"/>
        </w:rPr>
        <w:t xml:space="preserve"> widely</w:t>
      </w:r>
      <w:r w:rsidR="0058553A" w:rsidRPr="00E04A13">
        <w:rPr>
          <w:lang w:val="en-GB"/>
        </w:rPr>
        <w:t xml:space="preserve"> </w:t>
      </w:r>
      <w:r w:rsidR="00EA7A58" w:rsidRPr="00E04A13">
        <w:rPr>
          <w:lang w:val="en-GB"/>
        </w:rPr>
        <w:t xml:space="preserve">between countries </w:t>
      </w:r>
      <w:r w:rsidR="0058553A" w:rsidRPr="00E04A13">
        <w:rPr>
          <w:lang w:val="en-GB"/>
        </w:rPr>
        <w:t>and no international data provider (e</w:t>
      </w:r>
      <w:r w:rsidRPr="00E04A13">
        <w:rPr>
          <w:lang w:val="en-GB"/>
        </w:rPr>
        <w:t>.</w:t>
      </w:r>
      <w:r w:rsidR="0058553A" w:rsidRPr="00E04A13">
        <w:rPr>
          <w:lang w:val="en-GB"/>
        </w:rPr>
        <w:t xml:space="preserve">g. OECD or </w:t>
      </w:r>
      <w:proofErr w:type="spellStart"/>
      <w:r w:rsidR="0058553A" w:rsidRPr="00E04A13">
        <w:rPr>
          <w:lang w:val="en-GB"/>
        </w:rPr>
        <w:t>Eurostat</w:t>
      </w:r>
      <w:proofErr w:type="spellEnd"/>
      <w:r w:rsidR="0058553A" w:rsidRPr="00E04A13">
        <w:rPr>
          <w:lang w:val="en-GB"/>
        </w:rPr>
        <w:t>) could provide a consistently defined dataset over the relevant period of 2007 to 2012</w:t>
      </w:r>
      <w:r w:rsidRPr="00E04A13">
        <w:rPr>
          <w:lang w:val="en-GB"/>
        </w:rPr>
        <w:t>, we had to turn elsewhere</w:t>
      </w:r>
      <w:r w:rsidR="0058553A" w:rsidRPr="00E04A13">
        <w:rPr>
          <w:lang w:val="en-GB"/>
        </w:rPr>
        <w:t xml:space="preserve">. </w:t>
      </w:r>
    </w:p>
    <w:p w:rsidR="00AB660D" w:rsidRPr="00E04A13" w:rsidRDefault="0058553A" w:rsidP="0058553A">
      <w:pPr>
        <w:rPr>
          <w:lang w:val="en-GB"/>
        </w:rPr>
      </w:pPr>
      <w:r w:rsidRPr="00E04A13">
        <w:rPr>
          <w:lang w:val="en-GB"/>
        </w:rPr>
        <w:t xml:space="preserve">The UK Department for Business, Innovation and Skills </w:t>
      </w:r>
      <w:r w:rsidR="00974BBB" w:rsidRPr="00E04A13">
        <w:rPr>
          <w:lang w:val="en-GB"/>
        </w:rPr>
        <w:t xml:space="preserve">(BIS) </w:t>
      </w:r>
      <w:r w:rsidRPr="00E04A13">
        <w:rPr>
          <w:lang w:val="en-GB"/>
        </w:rPr>
        <w:t>has collected information on low carbon and environmental goods and services (LCEGS) since 2006/07 and provides a yearly</w:t>
      </w:r>
      <w:r w:rsidR="00974BBB" w:rsidRPr="00E04A13">
        <w:rPr>
          <w:lang w:val="en-GB"/>
        </w:rPr>
        <w:t xml:space="preserve"> </w:t>
      </w:r>
      <w:r w:rsidRPr="00E04A13">
        <w:rPr>
          <w:lang w:val="en-GB"/>
        </w:rPr>
        <w:t xml:space="preserve">update of this assessment. </w:t>
      </w:r>
      <w:r w:rsidR="00974BBB" w:rsidRPr="00E04A13">
        <w:rPr>
          <w:lang w:val="en-GB"/>
        </w:rPr>
        <w:t xml:space="preserve">The BIS </w:t>
      </w:r>
      <w:r w:rsidRPr="00E04A13">
        <w:rPr>
          <w:lang w:val="en-GB"/>
        </w:rPr>
        <w:t xml:space="preserve">definition of LCEGS </w:t>
      </w:r>
      <w:r w:rsidR="00AB660D" w:rsidRPr="00E04A13">
        <w:rPr>
          <w:lang w:val="en-GB"/>
        </w:rPr>
        <w:t xml:space="preserve">offers a more comprehensive look at the data than </w:t>
      </w:r>
      <w:r w:rsidRPr="00E04A13">
        <w:rPr>
          <w:lang w:val="en-GB"/>
        </w:rPr>
        <w:t xml:space="preserve">the </w:t>
      </w:r>
      <w:proofErr w:type="spellStart"/>
      <w:r w:rsidR="00AB660D" w:rsidRPr="00E04A13">
        <w:rPr>
          <w:lang w:val="en-GB"/>
        </w:rPr>
        <w:t>Eurostat</w:t>
      </w:r>
      <w:proofErr w:type="spellEnd"/>
      <w:r w:rsidRPr="00E04A13">
        <w:rPr>
          <w:lang w:val="en-GB"/>
        </w:rPr>
        <w:t xml:space="preserve"> definition</w:t>
      </w:r>
      <w:r w:rsidR="00974BBB" w:rsidRPr="00E04A13">
        <w:rPr>
          <w:lang w:val="en-GB"/>
        </w:rPr>
        <w:t>,</w:t>
      </w:r>
      <w:r w:rsidR="00BD0538" w:rsidRPr="00E04A13">
        <w:rPr>
          <w:rStyle w:val="FootnoteReference"/>
          <w:lang w:val="en-GB"/>
        </w:rPr>
        <w:footnoteReference w:id="2"/>
      </w:r>
      <w:r w:rsidRPr="00E04A13">
        <w:rPr>
          <w:lang w:val="en-GB"/>
        </w:rPr>
        <w:t xml:space="preserve"> as BIS includes the value chain of environmental goods and services.</w:t>
      </w:r>
      <w:r w:rsidR="00974BBB" w:rsidRPr="00E04A13">
        <w:rPr>
          <w:lang w:val="en-GB"/>
        </w:rPr>
        <w:t xml:space="preserve"> </w:t>
      </w:r>
      <w:r w:rsidR="00AB660D" w:rsidRPr="00E04A13">
        <w:rPr>
          <w:lang w:val="en-GB"/>
        </w:rPr>
        <w:t xml:space="preserve">Thus, for instance, the </w:t>
      </w:r>
      <w:proofErr w:type="spellStart"/>
      <w:r w:rsidR="00AB660D" w:rsidRPr="00E04A13">
        <w:rPr>
          <w:lang w:val="en-GB"/>
        </w:rPr>
        <w:t>Eurostat</w:t>
      </w:r>
      <w:proofErr w:type="spellEnd"/>
      <w:r w:rsidR="00AB660D" w:rsidRPr="00E04A13">
        <w:rPr>
          <w:lang w:val="en-GB"/>
        </w:rPr>
        <w:t xml:space="preserve"> definition would include the manufacture of wind turbine components as an Eco-Industry, if these components are built by a specialised manufacturer who reports this activity as environment-related. Yet, the manufacture of a gearbox for a wind turbine by an external supplier might not be included, but rather classified as general manufacturing.</w:t>
      </w:r>
    </w:p>
    <w:p w:rsidR="0058553A" w:rsidRPr="00E04A13" w:rsidRDefault="00974BBB" w:rsidP="0058553A">
      <w:pPr>
        <w:rPr>
          <w:lang w:val="en-GB"/>
        </w:rPr>
      </w:pPr>
      <w:r w:rsidRPr="00E04A13">
        <w:rPr>
          <w:lang w:val="en-GB"/>
        </w:rPr>
        <w:t>As many countries are specifically interested in capturing elements of the value chain, there is also a strong argument to be made that this dataset give</w:t>
      </w:r>
      <w:r w:rsidR="00222AA8" w:rsidRPr="00E04A13">
        <w:rPr>
          <w:lang w:val="en-GB"/>
        </w:rPr>
        <w:t>s</w:t>
      </w:r>
      <w:r w:rsidRPr="00E04A13">
        <w:rPr>
          <w:lang w:val="en-GB"/>
        </w:rPr>
        <w:t xml:space="preserve"> a more robust view of developments in Eco-Industries.</w:t>
      </w:r>
      <w:r w:rsidR="0058553A" w:rsidRPr="00E04A13">
        <w:rPr>
          <w:lang w:val="en-GB"/>
        </w:rPr>
        <w:t xml:space="preserve"> </w:t>
      </w:r>
      <w:r w:rsidR="00AB660D" w:rsidRPr="00E04A13">
        <w:rPr>
          <w:lang w:val="en-GB"/>
        </w:rPr>
        <w:t xml:space="preserve">The 2009 </w:t>
      </w:r>
      <w:r w:rsidR="007942FA" w:rsidRPr="00E04A13">
        <w:rPr>
          <w:lang w:val="en-GB"/>
        </w:rPr>
        <w:t>EU</w:t>
      </w:r>
      <w:r w:rsidR="00AB660D" w:rsidRPr="00E04A13">
        <w:rPr>
          <w:lang w:val="en-GB"/>
        </w:rPr>
        <w:t>-com</w:t>
      </w:r>
      <w:r w:rsidR="0027518A" w:rsidRPr="00E04A13">
        <w:rPr>
          <w:lang w:val="en-GB"/>
        </w:rPr>
        <w:t>m</w:t>
      </w:r>
      <w:r w:rsidR="00AB660D" w:rsidRPr="00E04A13">
        <w:rPr>
          <w:lang w:val="en-GB"/>
        </w:rPr>
        <w:t>issioned</w:t>
      </w:r>
      <w:r w:rsidR="007942FA" w:rsidRPr="00E04A13">
        <w:rPr>
          <w:lang w:val="en-GB"/>
        </w:rPr>
        <w:t xml:space="preserve"> report</w:t>
      </w:r>
      <w:r w:rsidR="00AB660D" w:rsidRPr="00E04A13">
        <w:rPr>
          <w:lang w:val="en-GB"/>
        </w:rPr>
        <w:t xml:space="preserve"> on the Competitiveness of the EU Eco-Industry</w:t>
      </w:r>
      <w:r w:rsidR="007942FA" w:rsidRPr="00E04A13">
        <w:rPr>
          <w:lang w:val="en-GB"/>
        </w:rPr>
        <w:t xml:space="preserve"> </w:t>
      </w:r>
      <w:r w:rsidR="00AB660D" w:rsidRPr="00E04A13">
        <w:rPr>
          <w:lang w:val="en-GB"/>
        </w:rPr>
        <w:t>credits</w:t>
      </w:r>
      <w:r w:rsidR="007942FA" w:rsidRPr="00E04A13">
        <w:rPr>
          <w:lang w:val="en-GB"/>
        </w:rPr>
        <w:t xml:space="preserve"> the </w:t>
      </w:r>
      <w:r w:rsidRPr="00E04A13">
        <w:rPr>
          <w:lang w:val="en-GB"/>
        </w:rPr>
        <w:t xml:space="preserve">BIS </w:t>
      </w:r>
      <w:r w:rsidR="007942FA" w:rsidRPr="00E04A13">
        <w:rPr>
          <w:lang w:val="en-GB"/>
        </w:rPr>
        <w:t xml:space="preserve">LCEGS report </w:t>
      </w:r>
      <w:r w:rsidR="00AB660D" w:rsidRPr="00E04A13">
        <w:rPr>
          <w:lang w:val="en-GB"/>
        </w:rPr>
        <w:t xml:space="preserve">for its </w:t>
      </w:r>
      <w:r w:rsidR="007942FA" w:rsidRPr="00E04A13">
        <w:rPr>
          <w:lang w:val="en-GB"/>
        </w:rPr>
        <w:t xml:space="preserve">exhaustive </w:t>
      </w:r>
      <w:r w:rsidR="00AB660D" w:rsidRPr="00E04A13">
        <w:rPr>
          <w:lang w:val="en-GB"/>
        </w:rPr>
        <w:t xml:space="preserve">and comprehensive </w:t>
      </w:r>
      <w:r w:rsidR="007942FA" w:rsidRPr="00E04A13">
        <w:rPr>
          <w:lang w:val="en-GB"/>
        </w:rPr>
        <w:t>LCEGS methodology.</w:t>
      </w:r>
      <w:r w:rsidR="00BD0538" w:rsidRPr="00E04A13">
        <w:rPr>
          <w:rStyle w:val="FootnoteReference"/>
          <w:lang w:val="en-GB"/>
        </w:rPr>
        <w:footnoteReference w:id="3"/>
      </w:r>
      <w:r w:rsidR="007942FA" w:rsidRPr="00E04A13">
        <w:rPr>
          <w:lang w:val="en-GB"/>
        </w:rPr>
        <w:t xml:space="preserve"> </w:t>
      </w:r>
      <w:r w:rsidR="00AB660D" w:rsidRPr="00E04A13">
        <w:rPr>
          <w:lang w:val="en-GB"/>
        </w:rPr>
        <w:t>The BIS dataset is also fairly large in terms of country coverage, giving an overview on the development of Eco-Industries in the last 5 years in up to 50 countries worldwide.</w:t>
      </w:r>
    </w:p>
    <w:p w:rsidR="007942FA" w:rsidRPr="00E04A13" w:rsidRDefault="0058553A" w:rsidP="0058553A">
      <w:pPr>
        <w:rPr>
          <w:lang w:val="en-GB"/>
        </w:rPr>
      </w:pPr>
      <w:r w:rsidRPr="00E04A13">
        <w:rPr>
          <w:lang w:val="en-GB"/>
        </w:rPr>
        <w:t xml:space="preserve">The </w:t>
      </w:r>
      <w:r w:rsidR="00974BBB" w:rsidRPr="00E04A13">
        <w:rPr>
          <w:lang w:val="en-GB"/>
        </w:rPr>
        <w:t xml:space="preserve">BIS </w:t>
      </w:r>
      <w:r w:rsidRPr="00E04A13">
        <w:rPr>
          <w:lang w:val="en-GB"/>
        </w:rPr>
        <w:t>defines th</w:t>
      </w:r>
      <w:r w:rsidR="00974BBB" w:rsidRPr="00E04A13">
        <w:rPr>
          <w:lang w:val="en-GB"/>
        </w:rPr>
        <w:t xml:space="preserve">e LCEGS </w:t>
      </w:r>
      <w:r w:rsidRPr="00E04A13">
        <w:rPr>
          <w:lang w:val="en-GB"/>
        </w:rPr>
        <w:t>sector as a “flexible, umbrella” term for capturing activities across a range of traditional sectors</w:t>
      </w:r>
      <w:r w:rsidR="00BD0538" w:rsidRPr="00E04A13">
        <w:rPr>
          <w:lang w:val="en-GB"/>
        </w:rPr>
        <w:t>.</w:t>
      </w:r>
      <w:r w:rsidR="00B174D1" w:rsidRPr="00E04A13">
        <w:rPr>
          <w:rStyle w:val="FootnoteReference"/>
          <w:lang w:val="en-GB"/>
        </w:rPr>
        <w:footnoteReference w:id="4"/>
      </w:r>
      <w:r w:rsidRPr="00E04A13">
        <w:rPr>
          <w:lang w:val="en-GB"/>
        </w:rPr>
        <w:t xml:space="preserve"> </w:t>
      </w:r>
    </w:p>
    <w:p w:rsidR="0058553A" w:rsidRPr="00E04A13" w:rsidRDefault="0058553A" w:rsidP="0058553A">
      <w:pPr>
        <w:rPr>
          <w:lang w:val="en-GB"/>
        </w:rPr>
      </w:pPr>
      <w:r w:rsidRPr="00E04A13">
        <w:rPr>
          <w:lang w:val="en-GB"/>
        </w:rPr>
        <w:t xml:space="preserve">The sectors and major subsectors </w:t>
      </w:r>
      <w:r w:rsidR="00974BBB" w:rsidRPr="00E04A13">
        <w:rPr>
          <w:lang w:val="en-GB"/>
        </w:rPr>
        <w:t xml:space="preserve">in the BIS assessment </w:t>
      </w:r>
      <w:r w:rsidRPr="00E04A13">
        <w:rPr>
          <w:lang w:val="en-GB"/>
        </w:rPr>
        <w:t>are clarified as follows:</w:t>
      </w:r>
    </w:p>
    <w:p w:rsidR="0058553A" w:rsidRPr="00E04A13" w:rsidRDefault="0058553A" w:rsidP="0058553A">
      <w:pPr>
        <w:rPr>
          <w:lang w:val="en-GB"/>
        </w:rPr>
      </w:pPr>
      <w:r w:rsidRPr="00E04A13">
        <w:rPr>
          <w:b/>
          <w:lang w:val="en-GB"/>
        </w:rPr>
        <w:t>Environmental</w:t>
      </w:r>
      <w:r w:rsidRPr="00E04A13">
        <w:rPr>
          <w:lang w:val="en-GB"/>
        </w:rPr>
        <w:t xml:space="preserve"> (Air Pollution, Contaminated Land, Environmental Consultancy, Environmental Monitoring, Marine Pollution Control, Noise &amp; Vibration Control, Recovery and Recycling, Waste Management, Water Supply and Wastewater Treatment)</w:t>
      </w:r>
    </w:p>
    <w:p w:rsidR="0058553A" w:rsidRPr="00E04A13" w:rsidRDefault="0058553A" w:rsidP="0058553A">
      <w:pPr>
        <w:rPr>
          <w:lang w:val="en-GB"/>
        </w:rPr>
      </w:pPr>
      <w:r w:rsidRPr="00E04A13">
        <w:rPr>
          <w:b/>
          <w:lang w:val="en-GB"/>
        </w:rPr>
        <w:t>Renewable Energy</w:t>
      </w:r>
      <w:r w:rsidRPr="00E04A13">
        <w:rPr>
          <w:lang w:val="en-GB"/>
        </w:rPr>
        <w:t xml:space="preserve"> (Biomass, Geothermal, Hydro, Photovoltaic, Wave &amp; Tidal, Wind, Renewable Consulting</w:t>
      </w:r>
    </w:p>
    <w:p w:rsidR="0058553A" w:rsidRPr="00E04A13" w:rsidRDefault="0058553A" w:rsidP="0058553A">
      <w:pPr>
        <w:rPr>
          <w:lang w:val="en-GB"/>
        </w:rPr>
      </w:pPr>
      <w:r w:rsidRPr="00E04A13">
        <w:rPr>
          <w:b/>
          <w:lang w:val="en-GB"/>
        </w:rPr>
        <w:t>Low Carbon</w:t>
      </w:r>
      <w:r w:rsidRPr="00E04A13">
        <w:rPr>
          <w:lang w:val="en-GB"/>
        </w:rPr>
        <w:t xml:space="preserve"> (Additional Energy Sources, Alternative Fuel/ Vehicle, Alternative Fuels, Building Technologies, Energy Management, Carbon Capture &amp; Storage, Carbon Finance, Nuclear Power)</w:t>
      </w:r>
      <w:r w:rsidR="00BD0538" w:rsidRPr="00E04A13">
        <w:rPr>
          <w:rStyle w:val="FootnoteReference"/>
          <w:lang w:val="en-GB"/>
        </w:rPr>
        <w:footnoteReference w:id="5"/>
      </w:r>
    </w:p>
    <w:p w:rsidR="0058553A" w:rsidRPr="00E04A13" w:rsidRDefault="0058553A" w:rsidP="0058553A">
      <w:pPr>
        <w:rPr>
          <w:lang w:val="en-GB"/>
        </w:rPr>
      </w:pPr>
      <w:r w:rsidRPr="00E04A13">
        <w:rPr>
          <w:lang w:val="en-GB"/>
        </w:rPr>
        <w:t>The LCEGS analysis includes:</w:t>
      </w:r>
    </w:p>
    <w:p w:rsidR="0058553A" w:rsidRPr="00E04A13" w:rsidRDefault="0058553A" w:rsidP="0058553A">
      <w:pPr>
        <w:pStyle w:val="ListParagraph"/>
        <w:numPr>
          <w:ilvl w:val="0"/>
          <w:numId w:val="25"/>
        </w:numPr>
        <w:rPr>
          <w:lang w:val="en-GB"/>
        </w:rPr>
      </w:pPr>
      <w:r w:rsidRPr="00E04A13">
        <w:rPr>
          <w:lang w:val="en-GB"/>
        </w:rPr>
        <w:t>“Companies that solely provide LCEGS products and services</w:t>
      </w:r>
      <w:r w:rsidR="00974BBB" w:rsidRPr="00E04A13">
        <w:rPr>
          <w:lang w:val="en-GB"/>
        </w:rPr>
        <w:t>”</w:t>
      </w:r>
    </w:p>
    <w:p w:rsidR="0058553A" w:rsidRPr="00E04A13" w:rsidRDefault="0058553A" w:rsidP="0058553A">
      <w:pPr>
        <w:pStyle w:val="ListParagraph"/>
        <w:numPr>
          <w:ilvl w:val="0"/>
          <w:numId w:val="25"/>
        </w:numPr>
        <w:rPr>
          <w:lang w:val="en-GB"/>
        </w:rPr>
      </w:pPr>
      <w:r w:rsidRPr="00E04A13">
        <w:rPr>
          <w:lang w:val="en-GB"/>
        </w:rPr>
        <w:t>“Companies who are 100% providers of components or inputs into sub assemblies or final LCEGS products and services delivered by others</w:t>
      </w:r>
      <w:r w:rsidR="00974BBB" w:rsidRPr="00E04A13">
        <w:rPr>
          <w:lang w:val="en-GB"/>
        </w:rPr>
        <w:t>”</w:t>
      </w:r>
    </w:p>
    <w:p w:rsidR="0058553A" w:rsidRPr="00E04A13" w:rsidRDefault="0058553A" w:rsidP="0058553A">
      <w:pPr>
        <w:pStyle w:val="ListParagraph"/>
        <w:numPr>
          <w:ilvl w:val="0"/>
          <w:numId w:val="25"/>
        </w:numPr>
        <w:rPr>
          <w:lang w:val="en-GB"/>
        </w:rPr>
      </w:pPr>
      <w:r w:rsidRPr="00E04A13">
        <w:rPr>
          <w:lang w:val="en-GB"/>
        </w:rPr>
        <w:t>“Companies who provide components or inputs into sub assemblies or final assemblies of LCEGS products and services</w:t>
      </w:r>
      <w:r w:rsidR="00BD0538" w:rsidRPr="00E04A13">
        <w:rPr>
          <w:lang w:val="en-GB"/>
        </w:rPr>
        <w:t>.</w:t>
      </w:r>
      <w:r w:rsidRPr="00E04A13">
        <w:rPr>
          <w:lang w:val="en-GB"/>
        </w:rPr>
        <w:t>”</w:t>
      </w:r>
      <w:r w:rsidR="00B174D1" w:rsidRPr="00E04A13">
        <w:rPr>
          <w:rStyle w:val="FootnoteReference"/>
          <w:lang w:val="en-GB"/>
        </w:rPr>
        <w:footnoteReference w:id="6"/>
      </w:r>
    </w:p>
    <w:p w:rsidR="0058553A" w:rsidRPr="00E04A13" w:rsidRDefault="0058553A" w:rsidP="0058553A">
      <w:pPr>
        <w:pStyle w:val="ListParagraph"/>
        <w:numPr>
          <w:ilvl w:val="0"/>
          <w:numId w:val="25"/>
        </w:numPr>
        <w:rPr>
          <w:lang w:val="en-GB"/>
        </w:rPr>
      </w:pPr>
      <w:r w:rsidRPr="00E04A13">
        <w:rPr>
          <w:lang w:val="en-GB"/>
        </w:rPr>
        <w:t>How resilient have eco-industries been to the impacts of the economic crisis, esp. in comparison to other economic sectors?</w:t>
      </w:r>
    </w:p>
    <w:p w:rsidR="0058553A" w:rsidRPr="00E04A13" w:rsidRDefault="0058553A" w:rsidP="0058553A">
      <w:pPr>
        <w:pStyle w:val="ListParagraph"/>
        <w:numPr>
          <w:ilvl w:val="0"/>
          <w:numId w:val="25"/>
        </w:numPr>
        <w:rPr>
          <w:lang w:val="en-GB"/>
        </w:rPr>
      </w:pPr>
      <w:r w:rsidRPr="00E04A13">
        <w:rPr>
          <w:lang w:val="en-GB"/>
        </w:rPr>
        <w:t>In which eco-industries where is the EU leading, where are competitors leading, have there been changes over the last five years?</w:t>
      </w:r>
    </w:p>
    <w:p w:rsidR="0058553A" w:rsidRPr="00E04A13" w:rsidRDefault="0058553A" w:rsidP="0058553A">
      <w:pPr>
        <w:rPr>
          <w:lang w:val="en-GB"/>
        </w:rPr>
      </w:pPr>
      <w:r w:rsidRPr="00E04A13">
        <w:rPr>
          <w:lang w:val="en-GB"/>
        </w:rPr>
        <w:t xml:space="preserve">We have chosen a subset of 8 countries (5 EU member states and 3 others) for the purpose of our analysis. The main criteria for the choice of the countries were: </w:t>
      </w:r>
    </w:p>
    <w:p w:rsidR="0058553A" w:rsidRPr="00E04A13" w:rsidRDefault="0058553A" w:rsidP="0058553A">
      <w:pPr>
        <w:pStyle w:val="ListParagraph"/>
        <w:numPr>
          <w:ilvl w:val="0"/>
          <w:numId w:val="21"/>
        </w:numPr>
        <w:rPr>
          <w:lang w:val="en-GB"/>
        </w:rPr>
      </w:pPr>
      <w:r w:rsidRPr="00E04A13">
        <w:rPr>
          <w:lang w:val="en-GB"/>
        </w:rPr>
        <w:t xml:space="preserve">Data availability </w:t>
      </w:r>
    </w:p>
    <w:p w:rsidR="0058553A" w:rsidRPr="00E04A13" w:rsidRDefault="0058553A" w:rsidP="0058553A">
      <w:pPr>
        <w:pStyle w:val="ListParagraph"/>
        <w:numPr>
          <w:ilvl w:val="0"/>
          <w:numId w:val="21"/>
        </w:numPr>
        <w:rPr>
          <w:lang w:val="en-GB"/>
        </w:rPr>
      </w:pPr>
      <w:r w:rsidRPr="00E04A13">
        <w:rPr>
          <w:lang w:val="en-GB"/>
        </w:rPr>
        <w:t xml:space="preserve">Importance of country as </w:t>
      </w:r>
      <w:r w:rsidR="005256BE" w:rsidRPr="00E04A13">
        <w:rPr>
          <w:lang w:val="en-GB"/>
        </w:rPr>
        <w:t xml:space="preserve">an </w:t>
      </w:r>
      <w:r w:rsidRPr="00E04A13">
        <w:rPr>
          <w:lang w:val="en-GB"/>
        </w:rPr>
        <w:t xml:space="preserve">industry location </w:t>
      </w:r>
    </w:p>
    <w:p w:rsidR="0058553A" w:rsidRPr="00E04A13" w:rsidRDefault="0058553A" w:rsidP="0058553A">
      <w:pPr>
        <w:pStyle w:val="ListParagraph"/>
        <w:numPr>
          <w:ilvl w:val="0"/>
          <w:numId w:val="21"/>
        </w:numPr>
        <w:rPr>
          <w:lang w:val="en-GB"/>
        </w:rPr>
      </w:pPr>
      <w:r w:rsidRPr="00E04A13">
        <w:rPr>
          <w:lang w:val="en-GB"/>
        </w:rPr>
        <w:t xml:space="preserve">Significantly slower or stronger growth of </w:t>
      </w:r>
      <w:r w:rsidR="009775D7" w:rsidRPr="00E04A13">
        <w:rPr>
          <w:lang w:val="en-GB"/>
        </w:rPr>
        <w:t>Eco-Industries</w:t>
      </w:r>
      <w:r w:rsidRPr="00E04A13">
        <w:rPr>
          <w:lang w:val="en-GB"/>
        </w:rPr>
        <w:t xml:space="preserve"> </w:t>
      </w:r>
    </w:p>
    <w:p w:rsidR="0058553A" w:rsidRPr="00E04A13" w:rsidRDefault="0058553A" w:rsidP="0058553A">
      <w:pPr>
        <w:pStyle w:val="ListParagraph"/>
        <w:numPr>
          <w:ilvl w:val="0"/>
          <w:numId w:val="21"/>
        </w:numPr>
        <w:rPr>
          <w:lang w:val="en-GB"/>
        </w:rPr>
      </w:pPr>
      <w:r w:rsidRPr="00E04A13">
        <w:rPr>
          <w:lang w:val="en-GB"/>
        </w:rPr>
        <w:t xml:space="preserve">Significant </w:t>
      </w:r>
      <w:r w:rsidR="005256BE" w:rsidRPr="00E04A13">
        <w:rPr>
          <w:lang w:val="en-GB"/>
        </w:rPr>
        <w:t xml:space="preserve">(relative) </w:t>
      </w:r>
      <w:r w:rsidRPr="00E04A13">
        <w:rPr>
          <w:lang w:val="en-GB"/>
        </w:rPr>
        <w:t xml:space="preserve">size of eco-industries </w:t>
      </w:r>
    </w:p>
    <w:p w:rsidR="0058553A" w:rsidRPr="00E04A13" w:rsidRDefault="0058553A" w:rsidP="00C7570F">
      <w:pPr>
        <w:rPr>
          <w:lang w:val="en-GB"/>
        </w:rPr>
      </w:pPr>
      <w:r w:rsidRPr="00E04A13">
        <w:rPr>
          <w:lang w:val="en-GB"/>
        </w:rPr>
        <w:t>Using those criteria, the following countries were selected: Germany, UK, Portugal, Poland and Italy</w:t>
      </w:r>
      <w:r w:rsidR="005256BE" w:rsidRPr="00E04A13">
        <w:rPr>
          <w:lang w:val="en-GB"/>
        </w:rPr>
        <w:t>,</w:t>
      </w:r>
      <w:r w:rsidRPr="00E04A13">
        <w:rPr>
          <w:lang w:val="en-GB"/>
        </w:rPr>
        <w:t xml:space="preserve"> as </w:t>
      </w:r>
      <w:r w:rsidR="005256BE" w:rsidRPr="00E04A13">
        <w:rPr>
          <w:lang w:val="en-GB"/>
        </w:rPr>
        <w:t xml:space="preserve">the </w:t>
      </w:r>
      <w:r w:rsidRPr="00E04A13">
        <w:rPr>
          <w:lang w:val="en-GB"/>
        </w:rPr>
        <w:t xml:space="preserve">EU </w:t>
      </w:r>
      <w:r w:rsidR="005256BE" w:rsidRPr="00E04A13">
        <w:rPr>
          <w:lang w:val="en-GB"/>
        </w:rPr>
        <w:t>M</w:t>
      </w:r>
      <w:r w:rsidRPr="00E04A13">
        <w:rPr>
          <w:lang w:val="en-GB"/>
        </w:rPr>
        <w:t xml:space="preserve">ember </w:t>
      </w:r>
      <w:r w:rsidR="005256BE" w:rsidRPr="00E04A13">
        <w:rPr>
          <w:lang w:val="en-GB"/>
        </w:rPr>
        <w:t>S</w:t>
      </w:r>
      <w:r w:rsidRPr="00E04A13">
        <w:rPr>
          <w:lang w:val="en-GB"/>
        </w:rPr>
        <w:t xml:space="preserve">tates and </w:t>
      </w:r>
      <w:r w:rsidR="005256BE" w:rsidRPr="00E04A13">
        <w:rPr>
          <w:lang w:val="en-GB"/>
        </w:rPr>
        <w:t xml:space="preserve">China, </w:t>
      </w:r>
      <w:r w:rsidRPr="00E04A13">
        <w:rPr>
          <w:lang w:val="en-GB"/>
        </w:rPr>
        <w:t xml:space="preserve">Mexico, </w:t>
      </w:r>
      <w:r w:rsidR="005256BE" w:rsidRPr="00E04A13">
        <w:rPr>
          <w:lang w:val="en-GB"/>
        </w:rPr>
        <w:t xml:space="preserve">and the </w:t>
      </w:r>
      <w:r w:rsidRPr="00E04A13">
        <w:rPr>
          <w:lang w:val="en-GB"/>
        </w:rPr>
        <w:t>USA as non</w:t>
      </w:r>
      <w:r w:rsidR="005256BE" w:rsidRPr="00E04A13">
        <w:rPr>
          <w:lang w:val="en-GB"/>
        </w:rPr>
        <w:t>-</w:t>
      </w:r>
      <w:r w:rsidRPr="00E04A13">
        <w:rPr>
          <w:lang w:val="en-GB"/>
        </w:rPr>
        <w:t>EU countries. The</w:t>
      </w:r>
      <w:r w:rsidR="005256BE" w:rsidRPr="00E04A13">
        <w:rPr>
          <w:lang w:val="en-GB"/>
        </w:rPr>
        <w:t>se</w:t>
      </w:r>
      <w:r w:rsidRPr="00E04A13">
        <w:rPr>
          <w:lang w:val="en-GB"/>
        </w:rPr>
        <w:t xml:space="preserve"> 8 countries should provide a broad overview o</w:t>
      </w:r>
      <w:r w:rsidR="005256BE" w:rsidRPr="00E04A13">
        <w:rPr>
          <w:lang w:val="en-GB"/>
        </w:rPr>
        <w:t>f</w:t>
      </w:r>
      <w:r w:rsidRPr="00E04A13">
        <w:rPr>
          <w:lang w:val="en-GB"/>
        </w:rPr>
        <w:t xml:space="preserve"> the development of the Eco-industries</w:t>
      </w:r>
      <w:r w:rsidR="005256BE" w:rsidRPr="00E04A13">
        <w:rPr>
          <w:lang w:val="en-GB"/>
        </w:rPr>
        <w:t xml:space="preserve"> and allow interesting points of comparison. For example, the relative position of the USA and China is valuable as a point of comparison to the EU as a whole – notwithstanding the ability to compare their respective performance to the individual Member States – while Mexico is a good point of comparison to EU Member States still building out elements of their Eco-Industries.</w:t>
      </w:r>
    </w:p>
    <w:p w:rsidR="00CC58CF" w:rsidRPr="00E04A13" w:rsidRDefault="00CC58CF" w:rsidP="00CC58CF">
      <w:pPr>
        <w:pStyle w:val="Heading1"/>
        <w:spacing w:before="480"/>
        <w:rPr>
          <w:lang w:val="en-GB"/>
        </w:rPr>
      </w:pPr>
      <w:bookmarkStart w:id="3" w:name="_Toc251626630"/>
      <w:r w:rsidRPr="00E04A13">
        <w:rPr>
          <w:lang w:val="en-GB"/>
        </w:rPr>
        <w:t xml:space="preserve">Development of </w:t>
      </w:r>
      <w:r w:rsidR="00EE4563" w:rsidRPr="00E04A13">
        <w:rPr>
          <w:lang w:val="en-GB"/>
        </w:rPr>
        <w:t xml:space="preserve">Eco-Industries </w:t>
      </w:r>
      <w:r w:rsidRPr="00E04A13">
        <w:rPr>
          <w:lang w:val="en-GB"/>
        </w:rPr>
        <w:t>2007-2011</w:t>
      </w:r>
      <w:bookmarkEnd w:id="3"/>
    </w:p>
    <w:p w:rsidR="00CC58CF" w:rsidRPr="00E04A13" w:rsidRDefault="005D159C" w:rsidP="00854225">
      <w:pPr>
        <w:pStyle w:val="Heading2"/>
        <w:spacing w:before="480"/>
        <w:rPr>
          <w:lang w:val="en-GB"/>
        </w:rPr>
      </w:pPr>
      <w:bookmarkStart w:id="4" w:name="_Toc251626631"/>
      <w:r w:rsidRPr="00E04A13">
        <w:rPr>
          <w:lang w:val="en-GB"/>
        </w:rPr>
        <w:t>Turnover and growth of Eco-Industries</w:t>
      </w:r>
      <w:bookmarkEnd w:id="4"/>
      <w:r w:rsidRPr="00E04A13">
        <w:rPr>
          <w:lang w:val="en-GB"/>
        </w:rPr>
        <w:t xml:space="preserve"> </w:t>
      </w:r>
    </w:p>
    <w:p w:rsidR="005D159C" w:rsidRPr="00E04A13" w:rsidRDefault="00A94E70" w:rsidP="005D159C">
      <w:pPr>
        <w:rPr>
          <w:lang w:val="en-GB"/>
        </w:rPr>
      </w:pPr>
      <w:r w:rsidRPr="00E04A13">
        <w:rPr>
          <w:lang w:val="en-GB"/>
        </w:rPr>
        <w:t>Since 2007</w:t>
      </w:r>
      <w:r w:rsidR="005256BE" w:rsidRPr="00E04A13">
        <w:rPr>
          <w:lang w:val="en-GB"/>
        </w:rPr>
        <w:t>,</w:t>
      </w:r>
      <w:r w:rsidRPr="00E04A13">
        <w:rPr>
          <w:lang w:val="en-GB"/>
        </w:rPr>
        <w:t xml:space="preserve"> the </w:t>
      </w:r>
      <w:r w:rsidR="00571079" w:rsidRPr="00E04A13">
        <w:rPr>
          <w:lang w:val="en-GB"/>
        </w:rPr>
        <w:t xml:space="preserve">global </w:t>
      </w:r>
      <w:r w:rsidRPr="00E04A13">
        <w:rPr>
          <w:lang w:val="en-GB"/>
        </w:rPr>
        <w:t xml:space="preserve">Low Carbon and Environmental Goods and Services sector has grown by </w:t>
      </w:r>
      <w:r w:rsidR="00510E93" w:rsidRPr="00E04A13">
        <w:rPr>
          <w:lang w:val="en-GB"/>
        </w:rPr>
        <w:t xml:space="preserve">2% </w:t>
      </w:r>
      <w:r w:rsidRPr="00E04A13">
        <w:rPr>
          <w:lang w:val="en-GB"/>
        </w:rPr>
        <w:t>overall f</w:t>
      </w:r>
      <w:r w:rsidR="000D1D3E" w:rsidRPr="00E04A13">
        <w:rPr>
          <w:lang w:val="en-GB"/>
        </w:rPr>
        <w:t>rom about €3.6 billion to €4.1</w:t>
      </w:r>
      <w:r w:rsidRPr="00E04A13">
        <w:rPr>
          <w:lang w:val="en-GB"/>
        </w:rPr>
        <w:t xml:space="preserve"> billion. Unlike overall economic growth, </w:t>
      </w:r>
      <w:r w:rsidR="005256BE" w:rsidRPr="00E04A13">
        <w:rPr>
          <w:lang w:val="en-GB"/>
        </w:rPr>
        <w:t xml:space="preserve">which fell dramatically in 2008/2009 and then recovered, </w:t>
      </w:r>
      <w:r w:rsidRPr="00E04A13">
        <w:rPr>
          <w:lang w:val="en-GB"/>
        </w:rPr>
        <w:t xml:space="preserve">the growth </w:t>
      </w:r>
      <w:r w:rsidR="005256BE" w:rsidRPr="00E04A13">
        <w:rPr>
          <w:lang w:val="en-GB"/>
        </w:rPr>
        <w:t xml:space="preserve">rate </w:t>
      </w:r>
      <w:r w:rsidRPr="00E04A13">
        <w:rPr>
          <w:lang w:val="en-GB"/>
        </w:rPr>
        <w:t>in LCEGS was more stable</w:t>
      </w:r>
      <w:r w:rsidR="005256BE" w:rsidRPr="00E04A13">
        <w:rPr>
          <w:lang w:val="en-GB"/>
        </w:rPr>
        <w:t>,</w:t>
      </w:r>
      <w:r w:rsidRPr="00E04A13">
        <w:rPr>
          <w:lang w:val="en-GB"/>
        </w:rPr>
        <w:t xml:space="preserve"> averaging </w:t>
      </w:r>
      <w:r w:rsidR="005256BE" w:rsidRPr="00E04A13">
        <w:rPr>
          <w:lang w:val="en-GB"/>
        </w:rPr>
        <w:t>between</w:t>
      </w:r>
      <w:r w:rsidRPr="00E04A13">
        <w:rPr>
          <w:lang w:val="en-GB"/>
        </w:rPr>
        <w:t xml:space="preserve"> 3-4% in </w:t>
      </w:r>
      <w:r w:rsidR="005256BE" w:rsidRPr="00E04A13">
        <w:rPr>
          <w:lang w:val="en-GB"/>
        </w:rPr>
        <w:t xml:space="preserve">the </w:t>
      </w:r>
      <w:r w:rsidRPr="00E04A13">
        <w:rPr>
          <w:lang w:val="en-GB"/>
        </w:rPr>
        <w:t>years</w:t>
      </w:r>
      <w:r w:rsidR="005256BE" w:rsidRPr="00E04A13">
        <w:rPr>
          <w:lang w:val="en-GB"/>
        </w:rPr>
        <w:t xml:space="preserve"> covered by this study</w:t>
      </w:r>
      <w:r w:rsidRPr="00E04A13">
        <w:rPr>
          <w:lang w:val="en-GB"/>
        </w:rPr>
        <w:t xml:space="preserve">. </w:t>
      </w:r>
    </w:p>
    <w:p w:rsidR="00A94E70" w:rsidRPr="00E04A13" w:rsidRDefault="005256BE" w:rsidP="005D159C">
      <w:pPr>
        <w:rPr>
          <w:lang w:val="en-GB"/>
        </w:rPr>
      </w:pPr>
      <w:r w:rsidRPr="00E04A13">
        <w:rPr>
          <w:lang w:val="en-GB"/>
        </w:rPr>
        <w:t>C</w:t>
      </w:r>
      <w:r w:rsidR="00E9560B" w:rsidRPr="00E04A13">
        <w:rPr>
          <w:lang w:val="en-GB"/>
        </w:rPr>
        <w:t xml:space="preserve">ountries experienced very different growth rates in LCEGS between 2007 and 2011. While Eco-Industries in Poland and Mexico </w:t>
      </w:r>
      <w:r w:rsidRPr="00E04A13">
        <w:rPr>
          <w:lang w:val="en-GB"/>
        </w:rPr>
        <w:t>grew</w:t>
      </w:r>
      <w:r w:rsidR="00E9560B" w:rsidRPr="00E04A13">
        <w:rPr>
          <w:lang w:val="en-GB"/>
        </w:rPr>
        <w:t xml:space="preserve"> by </w:t>
      </w:r>
      <w:r w:rsidR="00B37794" w:rsidRPr="00E04A13">
        <w:rPr>
          <w:lang w:val="en-GB"/>
        </w:rPr>
        <w:t xml:space="preserve">5% or </w:t>
      </w:r>
      <w:r w:rsidR="00E9560B" w:rsidRPr="00E04A13">
        <w:rPr>
          <w:lang w:val="en-GB"/>
        </w:rPr>
        <w:t xml:space="preserve">more </w:t>
      </w:r>
      <w:r w:rsidR="00B37794" w:rsidRPr="00E04A13">
        <w:rPr>
          <w:lang w:val="en-GB"/>
        </w:rPr>
        <w:t>per year</w:t>
      </w:r>
      <w:r w:rsidR="00E9560B" w:rsidRPr="00E04A13">
        <w:rPr>
          <w:lang w:val="en-GB"/>
        </w:rPr>
        <w:t>,</w:t>
      </w:r>
      <w:r w:rsidRPr="00E04A13">
        <w:rPr>
          <w:lang w:val="en-GB"/>
        </w:rPr>
        <w:t xml:space="preserve"> </w:t>
      </w:r>
      <w:r w:rsidR="00E9560B" w:rsidRPr="00E04A13">
        <w:rPr>
          <w:lang w:val="en-GB"/>
        </w:rPr>
        <w:t xml:space="preserve">other countries like the US or Portugal experienced only modest growth in LCEGS of </w:t>
      </w:r>
      <w:r w:rsidR="00B37794" w:rsidRPr="00E04A13">
        <w:rPr>
          <w:lang w:val="en-GB"/>
        </w:rPr>
        <w:t>less than 2</w:t>
      </w:r>
      <w:r w:rsidR="00E9560B" w:rsidRPr="00E04A13">
        <w:rPr>
          <w:lang w:val="en-GB"/>
        </w:rPr>
        <w:t xml:space="preserve">% </w:t>
      </w:r>
      <w:r w:rsidR="00B37794" w:rsidRPr="00E04A13">
        <w:rPr>
          <w:lang w:val="en-GB"/>
        </w:rPr>
        <w:t>per year</w:t>
      </w:r>
      <w:r w:rsidR="00E9560B" w:rsidRPr="00E04A13">
        <w:rPr>
          <w:lang w:val="en-GB"/>
        </w:rPr>
        <w:t xml:space="preserve">. </w:t>
      </w:r>
    </w:p>
    <w:p w:rsidR="00B37794" w:rsidRPr="00E04A13" w:rsidRDefault="00B37794" w:rsidP="00B37794">
      <w:pPr>
        <w:keepNext/>
        <w:rPr>
          <w:lang w:val="en-GB"/>
        </w:rPr>
      </w:pPr>
      <w:r w:rsidRPr="00E04A13">
        <w:rPr>
          <w:noProof/>
        </w:rPr>
        <w:drawing>
          <wp:inline distT="0" distB="0" distL="0" distR="0">
            <wp:extent cx="4831080" cy="2916555"/>
            <wp:effectExtent l="2540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7" cstate="print"/>
                    <a:srcRect/>
                    <a:stretch>
                      <a:fillRect/>
                    </a:stretch>
                  </pic:blipFill>
                  <pic:spPr bwMode="auto">
                    <a:xfrm>
                      <a:off x="0" y="0"/>
                      <a:ext cx="4831080" cy="2916555"/>
                    </a:xfrm>
                    <a:prstGeom prst="rect">
                      <a:avLst/>
                    </a:prstGeom>
                    <a:noFill/>
                    <a:ln w="9525">
                      <a:noFill/>
                      <a:miter lim="800000"/>
                      <a:headEnd/>
                      <a:tailEnd/>
                    </a:ln>
                  </pic:spPr>
                </pic:pic>
              </a:graphicData>
            </a:graphic>
          </wp:inline>
        </w:drawing>
      </w:r>
    </w:p>
    <w:p w:rsidR="00E9560B" w:rsidRPr="00E04A13" w:rsidRDefault="00B37794" w:rsidP="00EA7A58">
      <w:pPr>
        <w:pStyle w:val="Caption"/>
        <w:rPr>
          <w:lang w:val="en-GB"/>
        </w:rPr>
      </w:pPr>
      <w:bookmarkStart w:id="5" w:name="_Toc249437484"/>
      <w:r w:rsidRPr="00E04A13">
        <w:rPr>
          <w:lang w:val="en-GB"/>
        </w:rPr>
        <w:t xml:space="preserve">Figure </w:t>
      </w:r>
      <w:r w:rsidR="00EA4FE5" w:rsidRPr="00E04A13">
        <w:rPr>
          <w:lang w:val="en-GB"/>
        </w:rPr>
        <w:fldChar w:fldCharType="begin"/>
      </w:r>
      <w:r w:rsidR="00053139" w:rsidRPr="00E04A13">
        <w:rPr>
          <w:lang w:val="en-GB"/>
        </w:rPr>
        <w:instrText xml:space="preserve"> SEQ Figure \* ARABIC </w:instrText>
      </w:r>
      <w:r w:rsidR="00EA4FE5" w:rsidRPr="00E04A13">
        <w:rPr>
          <w:lang w:val="en-GB"/>
        </w:rPr>
        <w:fldChar w:fldCharType="separate"/>
      </w:r>
      <w:r w:rsidR="00503F5D">
        <w:rPr>
          <w:noProof/>
          <w:lang w:val="en-GB"/>
        </w:rPr>
        <w:t>1</w:t>
      </w:r>
      <w:r w:rsidR="00EA4FE5" w:rsidRPr="00E04A13">
        <w:rPr>
          <w:lang w:val="en-GB"/>
        </w:rPr>
        <w:fldChar w:fldCharType="end"/>
      </w:r>
      <w:r w:rsidRPr="00E04A13">
        <w:rPr>
          <w:lang w:val="en-GB"/>
        </w:rPr>
        <w:t>: Size of the LCEGS sector (in % of GDP) and annual growth, 2007-2011</w:t>
      </w:r>
      <w:bookmarkEnd w:id="5"/>
    </w:p>
    <w:p w:rsidR="00E9560B" w:rsidRPr="00E04A13" w:rsidRDefault="00B37794" w:rsidP="005D159C">
      <w:pPr>
        <w:rPr>
          <w:lang w:val="en-GB"/>
        </w:rPr>
      </w:pPr>
      <w:r w:rsidRPr="00E04A13">
        <w:rPr>
          <w:lang w:val="en-GB"/>
        </w:rPr>
        <w:t>T</w:t>
      </w:r>
      <w:r w:rsidR="002571D1" w:rsidRPr="00E04A13">
        <w:rPr>
          <w:lang w:val="en-GB"/>
        </w:rPr>
        <w:t xml:space="preserve">he </w:t>
      </w:r>
      <w:r w:rsidR="005256BE" w:rsidRPr="00E04A13">
        <w:rPr>
          <w:lang w:val="en-GB"/>
        </w:rPr>
        <w:t xml:space="preserve">absolute </w:t>
      </w:r>
      <w:r w:rsidR="002571D1" w:rsidRPr="00E04A13">
        <w:rPr>
          <w:lang w:val="en-GB"/>
        </w:rPr>
        <w:t xml:space="preserve">size of the LCEGS in comparison to overall GDP differed less in the sample countries. The </w:t>
      </w:r>
      <w:r w:rsidR="00BD6216" w:rsidRPr="00E04A13">
        <w:rPr>
          <w:lang w:val="en-GB"/>
        </w:rPr>
        <w:t>biggest LCEGS sectors provided just over 5</w:t>
      </w:r>
      <w:r w:rsidR="002571D1" w:rsidRPr="00E04A13">
        <w:rPr>
          <w:lang w:val="en-GB"/>
        </w:rPr>
        <w:t>% of GDP</w:t>
      </w:r>
      <w:r w:rsidR="005256BE" w:rsidRPr="00E04A13">
        <w:rPr>
          <w:lang w:val="en-GB"/>
        </w:rPr>
        <w:t>,</w:t>
      </w:r>
      <w:r w:rsidR="002571D1" w:rsidRPr="00E04A13">
        <w:rPr>
          <w:lang w:val="en-GB"/>
        </w:rPr>
        <w:t xml:space="preserve"> while the smallest were around </w:t>
      </w:r>
      <w:r w:rsidR="00D60F83" w:rsidRPr="00E04A13">
        <w:rPr>
          <w:lang w:val="en-GB"/>
        </w:rPr>
        <w:t>3.</w:t>
      </w:r>
      <w:r w:rsidR="002571D1" w:rsidRPr="00E04A13">
        <w:rPr>
          <w:lang w:val="en-GB"/>
        </w:rPr>
        <w:t xml:space="preserve">5% of GDP. </w:t>
      </w:r>
      <w:r w:rsidR="00BD6216" w:rsidRPr="00E04A13">
        <w:rPr>
          <w:lang w:val="en-GB"/>
        </w:rPr>
        <w:t xml:space="preserve">It is worth noting here that the comparison with GDP figures is only indicative as the turnover figures provided for Eco-industries </w:t>
      </w:r>
      <w:r w:rsidR="00D60F83" w:rsidRPr="00E04A13">
        <w:rPr>
          <w:lang w:val="en-GB"/>
        </w:rPr>
        <w:t xml:space="preserve">use a different methodology than the “value-added” methodology of GDP. </w:t>
      </w:r>
      <w:r w:rsidRPr="00E04A13">
        <w:rPr>
          <w:lang w:val="en-GB"/>
        </w:rPr>
        <w:t>Interestingly, there is no correlation between GDP shares of LCEGS and annual growth rates, i.e. there is no conclusion as to whether the laggards are catching up, or the pioneers expanding their lead.</w:t>
      </w:r>
    </w:p>
    <w:p w:rsidR="00571079" w:rsidRPr="00E04A13" w:rsidRDefault="00E9560B" w:rsidP="005D159C">
      <w:pPr>
        <w:rPr>
          <w:lang w:val="en-GB"/>
        </w:rPr>
      </w:pPr>
      <w:r w:rsidRPr="00E04A13">
        <w:rPr>
          <w:lang w:val="en-GB"/>
        </w:rPr>
        <w:t xml:space="preserve">Overall growth </w:t>
      </w:r>
      <w:r w:rsidR="004A4EF9" w:rsidRPr="00E04A13">
        <w:rPr>
          <w:lang w:val="en-GB"/>
        </w:rPr>
        <w:t>in L</w:t>
      </w:r>
      <w:r w:rsidR="005256BE" w:rsidRPr="00E04A13">
        <w:rPr>
          <w:lang w:val="en-GB"/>
        </w:rPr>
        <w:t>C</w:t>
      </w:r>
      <w:r w:rsidR="004A4EF9" w:rsidRPr="00E04A13">
        <w:rPr>
          <w:lang w:val="en-GB"/>
        </w:rPr>
        <w:t xml:space="preserve">ECS was stable but </w:t>
      </w:r>
      <w:r w:rsidR="004442DC" w:rsidRPr="00E04A13">
        <w:rPr>
          <w:lang w:val="en-GB"/>
        </w:rPr>
        <w:t xml:space="preserve">slightly lower than GDP growth in </w:t>
      </w:r>
      <w:r w:rsidR="005363C7" w:rsidRPr="00E04A13">
        <w:rPr>
          <w:lang w:val="en-GB"/>
        </w:rPr>
        <w:t>the study</w:t>
      </w:r>
      <w:r w:rsidR="004442DC" w:rsidRPr="00E04A13">
        <w:rPr>
          <w:lang w:val="en-GB"/>
        </w:rPr>
        <w:t xml:space="preserve"> period</w:t>
      </w:r>
      <w:r w:rsidR="00571079" w:rsidRPr="00E04A13">
        <w:rPr>
          <w:lang w:val="en-GB"/>
        </w:rPr>
        <w:t xml:space="preserve">. </w:t>
      </w:r>
      <w:r w:rsidR="008B19BC" w:rsidRPr="00E04A13">
        <w:rPr>
          <w:lang w:val="en-GB"/>
        </w:rPr>
        <w:t>One im</w:t>
      </w:r>
      <w:r w:rsidR="004442DC" w:rsidRPr="00E04A13">
        <w:rPr>
          <w:lang w:val="en-GB"/>
        </w:rPr>
        <w:t>portant reason for this was the cycle of government spending in that period.</w:t>
      </w:r>
      <w:r w:rsidR="008B19BC" w:rsidRPr="00E04A13">
        <w:rPr>
          <w:lang w:val="en-GB"/>
        </w:rPr>
        <w:t xml:space="preserve"> Many sub sectors of LCEGS </w:t>
      </w:r>
      <w:r w:rsidR="00B37794" w:rsidRPr="00E04A13">
        <w:rPr>
          <w:lang w:val="en-GB"/>
        </w:rPr>
        <w:t>depend</w:t>
      </w:r>
      <w:r w:rsidR="008B19BC" w:rsidRPr="00E04A13">
        <w:rPr>
          <w:lang w:val="en-GB"/>
        </w:rPr>
        <w:t xml:space="preserve"> on </w:t>
      </w:r>
      <w:r w:rsidR="00B37794" w:rsidRPr="00E04A13">
        <w:rPr>
          <w:lang w:val="en-GB"/>
        </w:rPr>
        <w:t>public</w:t>
      </w:r>
      <w:r w:rsidR="008B19BC" w:rsidRPr="00E04A13">
        <w:rPr>
          <w:lang w:val="en-GB"/>
        </w:rPr>
        <w:t xml:space="preserve"> </w:t>
      </w:r>
      <w:r w:rsidR="00B37794" w:rsidRPr="00E04A13">
        <w:rPr>
          <w:lang w:val="en-GB"/>
        </w:rPr>
        <w:t xml:space="preserve">spending </w:t>
      </w:r>
      <w:r w:rsidR="008B19BC" w:rsidRPr="00E04A13">
        <w:rPr>
          <w:lang w:val="en-GB"/>
        </w:rPr>
        <w:t>(</w:t>
      </w:r>
      <w:r w:rsidR="005363C7" w:rsidRPr="00E04A13">
        <w:rPr>
          <w:lang w:val="en-GB"/>
        </w:rPr>
        <w:t>e.g. the w</w:t>
      </w:r>
      <w:r w:rsidR="008B19BC" w:rsidRPr="00E04A13">
        <w:rPr>
          <w:lang w:val="en-GB"/>
        </w:rPr>
        <w:t xml:space="preserve">ater industries) or government subsidies or </w:t>
      </w:r>
      <w:r w:rsidR="00B37794" w:rsidRPr="00E04A13">
        <w:rPr>
          <w:lang w:val="en-GB"/>
        </w:rPr>
        <w:t xml:space="preserve">other support </w:t>
      </w:r>
      <w:r w:rsidR="008B19BC" w:rsidRPr="00E04A13">
        <w:rPr>
          <w:lang w:val="en-GB"/>
        </w:rPr>
        <w:t>frameworks (</w:t>
      </w:r>
      <w:r w:rsidR="00AF7738">
        <w:rPr>
          <w:lang w:val="en-GB"/>
        </w:rPr>
        <w:t xml:space="preserve">e.g. </w:t>
      </w:r>
      <w:r w:rsidR="008B19BC" w:rsidRPr="00E04A13">
        <w:rPr>
          <w:lang w:val="en-GB"/>
        </w:rPr>
        <w:t>renewable energy). In 2008-2009 nearly all governments increased spending significantly</w:t>
      </w:r>
      <w:r w:rsidR="005363C7" w:rsidRPr="00E04A13">
        <w:rPr>
          <w:lang w:val="en-GB"/>
        </w:rPr>
        <w:t xml:space="preserve">, preventing any </w:t>
      </w:r>
      <w:r w:rsidR="008B19BC" w:rsidRPr="00E04A13">
        <w:rPr>
          <w:lang w:val="en-GB"/>
        </w:rPr>
        <w:t>downturn for the sector, but</w:t>
      </w:r>
      <w:r w:rsidR="005363C7" w:rsidRPr="00E04A13">
        <w:rPr>
          <w:lang w:val="en-GB"/>
        </w:rPr>
        <w:t>,</w:t>
      </w:r>
      <w:r w:rsidR="008B19BC" w:rsidRPr="00E04A13">
        <w:rPr>
          <w:lang w:val="en-GB"/>
        </w:rPr>
        <w:t xml:space="preserve"> on the other hand</w:t>
      </w:r>
      <w:r w:rsidR="005363C7" w:rsidRPr="00E04A13">
        <w:rPr>
          <w:lang w:val="en-GB"/>
        </w:rPr>
        <w:t>,</w:t>
      </w:r>
      <w:r w:rsidR="008B19BC" w:rsidRPr="00E04A13">
        <w:rPr>
          <w:lang w:val="en-GB"/>
        </w:rPr>
        <w:t xml:space="preserve"> the austerity measures </w:t>
      </w:r>
      <w:r w:rsidR="005363C7" w:rsidRPr="00E04A13">
        <w:rPr>
          <w:lang w:val="en-GB"/>
        </w:rPr>
        <w:t>enacted</w:t>
      </w:r>
      <w:r w:rsidR="008B19BC" w:rsidRPr="00E04A13">
        <w:rPr>
          <w:lang w:val="en-GB"/>
        </w:rPr>
        <w:t xml:space="preserve"> since 2010 by </w:t>
      </w:r>
      <w:r w:rsidR="00B37794" w:rsidRPr="00E04A13">
        <w:rPr>
          <w:lang w:val="en-GB"/>
        </w:rPr>
        <w:t xml:space="preserve">many </w:t>
      </w:r>
      <w:r w:rsidR="008B19BC" w:rsidRPr="00E04A13">
        <w:rPr>
          <w:lang w:val="en-GB"/>
        </w:rPr>
        <w:t xml:space="preserve">governments </w:t>
      </w:r>
      <w:r w:rsidR="005363C7" w:rsidRPr="00E04A13">
        <w:rPr>
          <w:lang w:val="en-GB"/>
        </w:rPr>
        <w:t xml:space="preserve">have </w:t>
      </w:r>
      <w:r w:rsidR="008B19BC" w:rsidRPr="00E04A13">
        <w:rPr>
          <w:lang w:val="en-GB"/>
        </w:rPr>
        <w:t xml:space="preserve">clearly </w:t>
      </w:r>
      <w:r w:rsidR="00B37794" w:rsidRPr="00E04A13">
        <w:rPr>
          <w:lang w:val="en-GB"/>
        </w:rPr>
        <w:t xml:space="preserve">affected </w:t>
      </w:r>
      <w:r w:rsidR="008B19BC" w:rsidRPr="00E04A13">
        <w:rPr>
          <w:lang w:val="en-GB"/>
        </w:rPr>
        <w:t>the sector</w:t>
      </w:r>
      <w:r w:rsidR="00B37794" w:rsidRPr="00E04A13">
        <w:rPr>
          <w:lang w:val="en-GB"/>
        </w:rPr>
        <w:t>’s growth</w:t>
      </w:r>
      <w:r w:rsidR="008B19BC" w:rsidRPr="00E04A13">
        <w:rPr>
          <w:lang w:val="en-GB"/>
        </w:rPr>
        <w:t xml:space="preserve">. Additionally, </w:t>
      </w:r>
      <w:r w:rsidR="004A4EF9" w:rsidRPr="00E04A13">
        <w:rPr>
          <w:lang w:val="en-GB"/>
        </w:rPr>
        <w:t>the lack of investment in developed economies during the</w:t>
      </w:r>
      <w:r w:rsidR="005363C7" w:rsidRPr="00E04A13">
        <w:rPr>
          <w:lang w:val="en-GB"/>
        </w:rPr>
        <w:t xml:space="preserve"> period as a</w:t>
      </w:r>
      <w:r w:rsidR="004A4EF9" w:rsidRPr="00E04A13">
        <w:rPr>
          <w:lang w:val="en-GB"/>
        </w:rPr>
        <w:t xml:space="preserve"> </w:t>
      </w:r>
      <w:r w:rsidR="008B19BC" w:rsidRPr="00E04A13">
        <w:rPr>
          <w:lang w:val="en-GB"/>
        </w:rPr>
        <w:t xml:space="preserve">whole </w:t>
      </w:r>
      <w:r w:rsidR="004A4EF9" w:rsidRPr="00E04A13">
        <w:rPr>
          <w:lang w:val="en-GB"/>
        </w:rPr>
        <w:t xml:space="preserve">has </w:t>
      </w:r>
      <w:r w:rsidR="005363C7" w:rsidRPr="00E04A13">
        <w:rPr>
          <w:lang w:val="en-GB"/>
        </w:rPr>
        <w:t xml:space="preserve">limited </w:t>
      </w:r>
      <w:r w:rsidR="003C2C49" w:rsidRPr="00E04A13">
        <w:rPr>
          <w:lang w:val="en-GB"/>
        </w:rPr>
        <w:t xml:space="preserve">growth in the </w:t>
      </w:r>
      <w:r w:rsidR="008B19BC" w:rsidRPr="00E04A13">
        <w:rPr>
          <w:lang w:val="en-GB"/>
        </w:rPr>
        <w:t xml:space="preserve">LCEGS </w:t>
      </w:r>
      <w:r w:rsidR="004A4EF9" w:rsidRPr="00E04A13">
        <w:rPr>
          <w:lang w:val="en-GB"/>
        </w:rPr>
        <w:t>sector</w:t>
      </w:r>
      <w:r w:rsidR="005363C7" w:rsidRPr="00E04A13">
        <w:rPr>
          <w:lang w:val="en-GB"/>
        </w:rPr>
        <w:t>,</w:t>
      </w:r>
      <w:r w:rsidR="004A4EF9" w:rsidRPr="00E04A13">
        <w:rPr>
          <w:lang w:val="en-GB"/>
        </w:rPr>
        <w:t xml:space="preserve"> due </w:t>
      </w:r>
      <w:r w:rsidR="003C2C49" w:rsidRPr="00E04A13">
        <w:rPr>
          <w:lang w:val="en-GB"/>
        </w:rPr>
        <w:t xml:space="preserve">to </w:t>
      </w:r>
      <w:r w:rsidR="004A4EF9" w:rsidRPr="00E04A13">
        <w:rPr>
          <w:lang w:val="en-GB"/>
        </w:rPr>
        <w:t xml:space="preserve">its strong </w:t>
      </w:r>
      <w:r w:rsidR="005363C7" w:rsidRPr="00E04A13">
        <w:rPr>
          <w:lang w:val="en-GB"/>
        </w:rPr>
        <w:t>orientation in capital</w:t>
      </w:r>
      <w:r w:rsidR="004A4EF9" w:rsidRPr="00E04A13">
        <w:rPr>
          <w:lang w:val="en-GB"/>
        </w:rPr>
        <w:t xml:space="preserve"> investment goods. </w:t>
      </w:r>
    </w:p>
    <w:p w:rsidR="004A4EF9" w:rsidRPr="00E04A13" w:rsidRDefault="008B19BC" w:rsidP="005D159C">
      <w:pPr>
        <w:rPr>
          <w:lang w:val="en-GB"/>
        </w:rPr>
      </w:pPr>
      <w:r w:rsidRPr="00E04A13">
        <w:rPr>
          <w:lang w:val="en-GB"/>
        </w:rPr>
        <w:t>Lastly</w:t>
      </w:r>
      <w:r w:rsidR="005363C7" w:rsidRPr="00E04A13">
        <w:rPr>
          <w:lang w:val="en-GB"/>
        </w:rPr>
        <w:t>,</w:t>
      </w:r>
      <w:r w:rsidRPr="00E04A13">
        <w:rPr>
          <w:lang w:val="en-GB"/>
        </w:rPr>
        <w:t xml:space="preserve"> </w:t>
      </w:r>
      <w:r w:rsidR="003C2C49" w:rsidRPr="00E04A13">
        <w:rPr>
          <w:lang w:val="en-GB"/>
        </w:rPr>
        <w:t xml:space="preserve">it is important to </w:t>
      </w:r>
      <w:r w:rsidR="005363C7" w:rsidRPr="00E04A13">
        <w:rPr>
          <w:lang w:val="en-GB"/>
        </w:rPr>
        <w:t xml:space="preserve">reiterate </w:t>
      </w:r>
      <w:r w:rsidR="003C2C49" w:rsidRPr="00E04A13">
        <w:rPr>
          <w:lang w:val="en-GB"/>
        </w:rPr>
        <w:t xml:space="preserve">that the LCEGS sector is </w:t>
      </w:r>
      <w:r w:rsidR="005363C7" w:rsidRPr="00E04A13">
        <w:rPr>
          <w:lang w:val="en-GB"/>
        </w:rPr>
        <w:t xml:space="preserve">a </w:t>
      </w:r>
      <w:r w:rsidR="003C2C49" w:rsidRPr="00E04A13">
        <w:rPr>
          <w:lang w:val="en-GB"/>
        </w:rPr>
        <w:t xml:space="preserve">diverse </w:t>
      </w:r>
      <w:r w:rsidR="005363C7" w:rsidRPr="00E04A13">
        <w:rPr>
          <w:lang w:val="en-GB"/>
        </w:rPr>
        <w:t xml:space="preserve">amalgam </w:t>
      </w:r>
      <w:r w:rsidR="003C2C49" w:rsidRPr="00E04A13">
        <w:rPr>
          <w:lang w:val="en-GB"/>
        </w:rPr>
        <w:t xml:space="preserve">comprising </w:t>
      </w:r>
      <w:r w:rsidR="00A42324" w:rsidRPr="00E04A13">
        <w:rPr>
          <w:lang w:val="en-GB"/>
        </w:rPr>
        <w:t>subsectors with relatively low growth (</w:t>
      </w:r>
      <w:r w:rsidR="005363C7" w:rsidRPr="00E04A13">
        <w:rPr>
          <w:lang w:val="en-GB"/>
        </w:rPr>
        <w:t xml:space="preserve">e.g. </w:t>
      </w:r>
      <w:r w:rsidR="00A42324" w:rsidRPr="00E04A13">
        <w:rPr>
          <w:lang w:val="en-GB"/>
        </w:rPr>
        <w:t>air pollution or alternative vehicle fuels) and sectors growing much stronger than the average (</w:t>
      </w:r>
      <w:r w:rsidR="005363C7" w:rsidRPr="00E04A13">
        <w:rPr>
          <w:lang w:val="en-GB"/>
        </w:rPr>
        <w:t>w</w:t>
      </w:r>
      <w:r w:rsidR="00A42324" w:rsidRPr="00E04A13">
        <w:rPr>
          <w:lang w:val="en-GB"/>
        </w:rPr>
        <w:t xml:space="preserve">ind or </w:t>
      </w:r>
      <w:r w:rsidR="005363C7" w:rsidRPr="00E04A13">
        <w:rPr>
          <w:lang w:val="en-GB"/>
        </w:rPr>
        <w:t xml:space="preserve">solar </w:t>
      </w:r>
      <w:r w:rsidR="00BF64CC" w:rsidRPr="00E04A13">
        <w:rPr>
          <w:lang w:val="en-GB"/>
        </w:rPr>
        <w:t>PV</w:t>
      </w:r>
      <w:r w:rsidR="00A42324" w:rsidRPr="00E04A13">
        <w:rPr>
          <w:lang w:val="en-GB"/>
        </w:rPr>
        <w:t xml:space="preserve">). </w:t>
      </w:r>
      <w:r w:rsidR="003C2C49" w:rsidRPr="00E04A13">
        <w:rPr>
          <w:lang w:val="en-GB"/>
        </w:rPr>
        <w:t xml:space="preserve">The following table provides more detail on the global growth of LCEGS sectors. </w:t>
      </w:r>
    </w:p>
    <w:tbl>
      <w:tblPr>
        <w:tblStyle w:val="TableGrid"/>
        <w:tblW w:w="9180" w:type="dxa"/>
        <w:tblLook w:val="04A0"/>
      </w:tblPr>
      <w:tblGrid>
        <w:gridCol w:w="5353"/>
        <w:gridCol w:w="1913"/>
        <w:gridCol w:w="1914"/>
      </w:tblGrid>
      <w:tr w:rsidR="00A42324" w:rsidRPr="00E04A13">
        <w:tc>
          <w:tcPr>
            <w:tcW w:w="5353" w:type="dxa"/>
          </w:tcPr>
          <w:p w:rsidR="00A42324" w:rsidRPr="00E04A13" w:rsidRDefault="00A42324" w:rsidP="00805696">
            <w:pPr>
              <w:spacing w:before="60" w:after="60"/>
              <w:jc w:val="left"/>
              <w:rPr>
                <w:b/>
                <w:sz w:val="20"/>
                <w:lang w:val="en-GB"/>
              </w:rPr>
            </w:pPr>
            <w:r w:rsidRPr="00E04A13">
              <w:rPr>
                <w:b/>
                <w:sz w:val="20"/>
                <w:lang w:val="en-GB"/>
              </w:rPr>
              <w:t>Sector</w:t>
            </w:r>
          </w:p>
        </w:tc>
        <w:tc>
          <w:tcPr>
            <w:tcW w:w="1913" w:type="dxa"/>
          </w:tcPr>
          <w:p w:rsidR="00A42324" w:rsidRPr="00E04A13" w:rsidRDefault="00805696" w:rsidP="00805696">
            <w:pPr>
              <w:spacing w:before="60" w:after="60"/>
              <w:rPr>
                <w:b/>
                <w:sz w:val="20"/>
                <w:lang w:val="en-GB"/>
              </w:rPr>
            </w:pPr>
            <w:r w:rsidRPr="00E04A13">
              <w:rPr>
                <w:b/>
                <w:sz w:val="20"/>
                <w:lang w:val="en-GB"/>
              </w:rPr>
              <w:t>Annual average g</w:t>
            </w:r>
            <w:r w:rsidR="00A42324" w:rsidRPr="00E04A13">
              <w:rPr>
                <w:b/>
                <w:sz w:val="20"/>
                <w:lang w:val="en-GB"/>
              </w:rPr>
              <w:t xml:space="preserve">rowth </w:t>
            </w:r>
            <w:r w:rsidRPr="00E04A13">
              <w:rPr>
                <w:b/>
                <w:sz w:val="20"/>
                <w:lang w:val="en-GB"/>
              </w:rPr>
              <w:t>2007-</w:t>
            </w:r>
            <w:r w:rsidR="00A42324" w:rsidRPr="00E04A13">
              <w:rPr>
                <w:b/>
                <w:sz w:val="20"/>
                <w:lang w:val="en-GB"/>
              </w:rPr>
              <w:t>11</w:t>
            </w:r>
          </w:p>
        </w:tc>
        <w:tc>
          <w:tcPr>
            <w:tcW w:w="1914" w:type="dxa"/>
          </w:tcPr>
          <w:p w:rsidR="00A42324" w:rsidRPr="00E04A13" w:rsidRDefault="00A42324" w:rsidP="00805696">
            <w:pPr>
              <w:spacing w:before="60" w:after="60"/>
              <w:rPr>
                <w:b/>
                <w:sz w:val="20"/>
                <w:lang w:val="en-GB"/>
              </w:rPr>
            </w:pPr>
            <w:r w:rsidRPr="00E04A13">
              <w:rPr>
                <w:b/>
                <w:sz w:val="20"/>
                <w:lang w:val="en-GB"/>
              </w:rPr>
              <w:t xml:space="preserve">Overall share of LCEGS (2011) </w:t>
            </w:r>
          </w:p>
        </w:tc>
      </w:tr>
      <w:tr w:rsidR="00805696" w:rsidRPr="00E04A13">
        <w:trPr>
          <w:trHeight w:val="20"/>
        </w:trPr>
        <w:tc>
          <w:tcPr>
            <w:tcW w:w="5353" w:type="dxa"/>
            <w:vAlign w:val="bottom"/>
          </w:tcPr>
          <w:p w:rsidR="00805696" w:rsidRPr="00E04A13" w:rsidRDefault="00805696" w:rsidP="00805696">
            <w:pPr>
              <w:spacing w:before="60" w:after="60"/>
              <w:jc w:val="left"/>
              <w:rPr>
                <w:rFonts w:cs="Arial"/>
                <w:sz w:val="20"/>
                <w:szCs w:val="20"/>
                <w:lang w:val="en-GB"/>
              </w:rPr>
            </w:pPr>
            <w:r w:rsidRPr="00E04A13">
              <w:rPr>
                <w:rFonts w:cs="Arial"/>
                <w:sz w:val="20"/>
                <w:szCs w:val="20"/>
                <w:lang w:val="en-GB"/>
              </w:rPr>
              <w:t>Air Pollution</w:t>
            </w:r>
          </w:p>
        </w:tc>
        <w:tc>
          <w:tcPr>
            <w:tcW w:w="1913" w:type="dxa"/>
            <w:vAlign w:val="bottom"/>
          </w:tcPr>
          <w:p w:rsidR="00805696" w:rsidRPr="00E04A13" w:rsidRDefault="00805696" w:rsidP="00805696">
            <w:pPr>
              <w:spacing w:before="60" w:after="60"/>
              <w:jc w:val="right"/>
              <w:rPr>
                <w:rFonts w:cs="Arial"/>
                <w:color w:val="000000"/>
                <w:sz w:val="20"/>
                <w:szCs w:val="20"/>
                <w:lang w:val="en-GB"/>
              </w:rPr>
            </w:pPr>
            <w:r w:rsidRPr="00E04A13">
              <w:rPr>
                <w:rFonts w:cs="Arial"/>
                <w:color w:val="000000"/>
                <w:sz w:val="20"/>
                <w:szCs w:val="20"/>
                <w:lang w:val="en-GB"/>
              </w:rPr>
              <w:t>1.9%</w:t>
            </w:r>
          </w:p>
        </w:tc>
        <w:tc>
          <w:tcPr>
            <w:tcW w:w="1914" w:type="dxa"/>
            <w:vAlign w:val="bottom"/>
          </w:tcPr>
          <w:p w:rsidR="00805696" w:rsidRPr="00E04A13" w:rsidRDefault="00805696" w:rsidP="00805696">
            <w:pPr>
              <w:spacing w:before="60" w:after="60"/>
              <w:jc w:val="right"/>
              <w:rPr>
                <w:rFonts w:cs="Arial"/>
                <w:color w:val="000000"/>
                <w:sz w:val="20"/>
                <w:szCs w:val="20"/>
                <w:lang w:val="en-GB"/>
              </w:rPr>
            </w:pPr>
            <w:r w:rsidRPr="00E04A13">
              <w:rPr>
                <w:rFonts w:cs="Arial"/>
                <w:color w:val="000000"/>
                <w:sz w:val="20"/>
                <w:szCs w:val="20"/>
                <w:lang w:val="en-GB"/>
              </w:rPr>
              <w:t>0.9%</w:t>
            </w:r>
          </w:p>
        </w:tc>
      </w:tr>
      <w:tr w:rsidR="00805696" w:rsidRPr="00E04A13">
        <w:trPr>
          <w:trHeight w:val="20"/>
        </w:trPr>
        <w:tc>
          <w:tcPr>
            <w:tcW w:w="5353" w:type="dxa"/>
            <w:vAlign w:val="bottom"/>
          </w:tcPr>
          <w:p w:rsidR="00805696" w:rsidRPr="00E04A13" w:rsidRDefault="00805696" w:rsidP="00805696">
            <w:pPr>
              <w:spacing w:before="60" w:after="60"/>
              <w:jc w:val="left"/>
              <w:rPr>
                <w:rFonts w:cs="Arial"/>
                <w:sz w:val="20"/>
                <w:szCs w:val="20"/>
                <w:lang w:val="en-GB"/>
              </w:rPr>
            </w:pPr>
            <w:r w:rsidRPr="00E04A13">
              <w:rPr>
                <w:rFonts w:cs="Arial"/>
                <w:sz w:val="20"/>
                <w:szCs w:val="20"/>
                <w:lang w:val="en-GB"/>
              </w:rPr>
              <w:t>Contaminated Land Reclamation &amp; Remediation</w:t>
            </w:r>
          </w:p>
        </w:tc>
        <w:tc>
          <w:tcPr>
            <w:tcW w:w="1913" w:type="dxa"/>
            <w:vAlign w:val="bottom"/>
          </w:tcPr>
          <w:p w:rsidR="00805696" w:rsidRPr="00E04A13" w:rsidRDefault="00805696" w:rsidP="00805696">
            <w:pPr>
              <w:spacing w:before="60" w:after="60"/>
              <w:jc w:val="right"/>
              <w:rPr>
                <w:rFonts w:cs="Arial"/>
                <w:color w:val="000000"/>
                <w:sz w:val="20"/>
                <w:szCs w:val="20"/>
                <w:lang w:val="en-GB"/>
              </w:rPr>
            </w:pPr>
            <w:r w:rsidRPr="00E04A13">
              <w:rPr>
                <w:rFonts w:cs="Arial"/>
                <w:color w:val="000000"/>
                <w:sz w:val="20"/>
                <w:szCs w:val="20"/>
                <w:lang w:val="en-GB"/>
              </w:rPr>
              <w:t>2.9%</w:t>
            </w:r>
          </w:p>
        </w:tc>
        <w:tc>
          <w:tcPr>
            <w:tcW w:w="1914" w:type="dxa"/>
            <w:vAlign w:val="bottom"/>
          </w:tcPr>
          <w:p w:rsidR="00805696" w:rsidRPr="00E04A13" w:rsidRDefault="00805696" w:rsidP="00805696">
            <w:pPr>
              <w:spacing w:before="60" w:after="60"/>
              <w:jc w:val="right"/>
              <w:rPr>
                <w:rFonts w:cs="Arial"/>
                <w:color w:val="000000"/>
                <w:sz w:val="20"/>
                <w:szCs w:val="20"/>
                <w:lang w:val="en-GB"/>
              </w:rPr>
            </w:pPr>
            <w:r w:rsidRPr="00E04A13">
              <w:rPr>
                <w:rFonts w:cs="Arial"/>
                <w:color w:val="000000"/>
                <w:sz w:val="20"/>
                <w:szCs w:val="20"/>
                <w:lang w:val="en-GB"/>
              </w:rPr>
              <w:t>0.9%</w:t>
            </w:r>
          </w:p>
        </w:tc>
      </w:tr>
      <w:tr w:rsidR="00805696" w:rsidRPr="00E04A13">
        <w:trPr>
          <w:trHeight w:val="20"/>
        </w:trPr>
        <w:tc>
          <w:tcPr>
            <w:tcW w:w="5353" w:type="dxa"/>
            <w:vAlign w:val="bottom"/>
          </w:tcPr>
          <w:p w:rsidR="00805696" w:rsidRPr="00E04A13" w:rsidRDefault="00805696" w:rsidP="00805696">
            <w:pPr>
              <w:spacing w:before="60" w:after="60"/>
              <w:jc w:val="left"/>
              <w:rPr>
                <w:rFonts w:cs="Arial"/>
                <w:sz w:val="20"/>
                <w:szCs w:val="20"/>
                <w:lang w:val="en-GB"/>
              </w:rPr>
            </w:pPr>
            <w:r w:rsidRPr="00E04A13">
              <w:rPr>
                <w:rFonts w:cs="Arial"/>
                <w:sz w:val="20"/>
                <w:szCs w:val="20"/>
                <w:lang w:val="en-GB"/>
              </w:rPr>
              <w:t>Environmental Consultancy and Related Services</w:t>
            </w:r>
          </w:p>
        </w:tc>
        <w:tc>
          <w:tcPr>
            <w:tcW w:w="1913" w:type="dxa"/>
            <w:vAlign w:val="bottom"/>
          </w:tcPr>
          <w:p w:rsidR="00805696" w:rsidRPr="00E04A13" w:rsidRDefault="00805696" w:rsidP="00805696">
            <w:pPr>
              <w:spacing w:before="60" w:after="60"/>
              <w:jc w:val="right"/>
              <w:rPr>
                <w:rFonts w:cs="Arial"/>
                <w:color w:val="000000"/>
                <w:sz w:val="20"/>
                <w:szCs w:val="20"/>
                <w:lang w:val="en-GB"/>
              </w:rPr>
            </w:pPr>
            <w:r w:rsidRPr="00E04A13">
              <w:rPr>
                <w:rFonts w:cs="Arial"/>
                <w:color w:val="000000"/>
                <w:sz w:val="20"/>
                <w:szCs w:val="20"/>
                <w:lang w:val="en-GB"/>
              </w:rPr>
              <w:t>3.1%</w:t>
            </w:r>
          </w:p>
        </w:tc>
        <w:tc>
          <w:tcPr>
            <w:tcW w:w="1914" w:type="dxa"/>
            <w:vAlign w:val="bottom"/>
          </w:tcPr>
          <w:p w:rsidR="00805696" w:rsidRPr="00E04A13" w:rsidRDefault="00805696" w:rsidP="00805696">
            <w:pPr>
              <w:spacing w:before="60" w:after="60"/>
              <w:jc w:val="right"/>
              <w:rPr>
                <w:rFonts w:cs="Arial"/>
                <w:color w:val="000000"/>
                <w:sz w:val="20"/>
                <w:szCs w:val="20"/>
                <w:lang w:val="en-GB"/>
              </w:rPr>
            </w:pPr>
            <w:r w:rsidRPr="00E04A13">
              <w:rPr>
                <w:rFonts w:cs="Arial"/>
                <w:color w:val="000000"/>
                <w:sz w:val="20"/>
                <w:szCs w:val="20"/>
                <w:lang w:val="en-GB"/>
              </w:rPr>
              <w:t>0.8%</w:t>
            </w:r>
          </w:p>
        </w:tc>
      </w:tr>
      <w:tr w:rsidR="00805696" w:rsidRPr="00E04A13">
        <w:trPr>
          <w:trHeight w:val="20"/>
        </w:trPr>
        <w:tc>
          <w:tcPr>
            <w:tcW w:w="5353" w:type="dxa"/>
            <w:vAlign w:val="bottom"/>
          </w:tcPr>
          <w:p w:rsidR="00805696" w:rsidRPr="00E04A13" w:rsidRDefault="00805696" w:rsidP="00805696">
            <w:pPr>
              <w:spacing w:before="60" w:after="60"/>
              <w:jc w:val="left"/>
              <w:rPr>
                <w:rFonts w:cs="Arial"/>
                <w:sz w:val="20"/>
                <w:szCs w:val="20"/>
                <w:lang w:val="en-GB"/>
              </w:rPr>
            </w:pPr>
            <w:r w:rsidRPr="00E04A13">
              <w:rPr>
                <w:rFonts w:cs="Arial"/>
                <w:sz w:val="20"/>
                <w:szCs w:val="20"/>
                <w:lang w:val="en-GB"/>
              </w:rPr>
              <w:t>Environmental Monitoring, Instrumentation and Analysis</w:t>
            </w:r>
          </w:p>
        </w:tc>
        <w:tc>
          <w:tcPr>
            <w:tcW w:w="1913" w:type="dxa"/>
            <w:vAlign w:val="bottom"/>
          </w:tcPr>
          <w:p w:rsidR="00805696" w:rsidRPr="00E04A13" w:rsidRDefault="00805696" w:rsidP="00805696">
            <w:pPr>
              <w:spacing w:before="60" w:after="60"/>
              <w:jc w:val="right"/>
              <w:rPr>
                <w:rFonts w:cs="Arial"/>
                <w:color w:val="000000"/>
                <w:sz w:val="20"/>
                <w:szCs w:val="20"/>
                <w:lang w:val="en-GB"/>
              </w:rPr>
            </w:pPr>
            <w:r w:rsidRPr="00E04A13">
              <w:rPr>
                <w:rFonts w:cs="Arial"/>
                <w:color w:val="000000"/>
                <w:sz w:val="20"/>
                <w:szCs w:val="20"/>
                <w:lang w:val="en-GB"/>
              </w:rPr>
              <w:t>3.2%</w:t>
            </w:r>
          </w:p>
        </w:tc>
        <w:tc>
          <w:tcPr>
            <w:tcW w:w="1914" w:type="dxa"/>
            <w:vAlign w:val="bottom"/>
          </w:tcPr>
          <w:p w:rsidR="00805696" w:rsidRPr="00E04A13" w:rsidRDefault="00805696" w:rsidP="00805696">
            <w:pPr>
              <w:spacing w:before="60" w:after="60"/>
              <w:jc w:val="right"/>
              <w:rPr>
                <w:rFonts w:cs="Arial"/>
                <w:color w:val="000000"/>
                <w:sz w:val="20"/>
                <w:szCs w:val="20"/>
                <w:lang w:val="en-GB"/>
              </w:rPr>
            </w:pPr>
            <w:r w:rsidRPr="00E04A13">
              <w:rPr>
                <w:rFonts w:cs="Arial"/>
                <w:color w:val="000000"/>
                <w:sz w:val="20"/>
                <w:szCs w:val="20"/>
                <w:lang w:val="en-GB"/>
              </w:rPr>
              <w:t>0.1%</w:t>
            </w:r>
          </w:p>
        </w:tc>
      </w:tr>
      <w:tr w:rsidR="00805696" w:rsidRPr="00E04A13">
        <w:trPr>
          <w:trHeight w:val="20"/>
        </w:trPr>
        <w:tc>
          <w:tcPr>
            <w:tcW w:w="5353" w:type="dxa"/>
            <w:vAlign w:val="bottom"/>
          </w:tcPr>
          <w:p w:rsidR="00805696" w:rsidRPr="00E04A13" w:rsidRDefault="00805696" w:rsidP="00805696">
            <w:pPr>
              <w:spacing w:before="60" w:after="60"/>
              <w:jc w:val="left"/>
              <w:rPr>
                <w:rFonts w:cs="Arial"/>
                <w:sz w:val="20"/>
                <w:szCs w:val="20"/>
                <w:lang w:val="en-GB"/>
              </w:rPr>
            </w:pPr>
            <w:r w:rsidRPr="00E04A13">
              <w:rPr>
                <w:rFonts w:cs="Arial"/>
                <w:sz w:val="20"/>
                <w:szCs w:val="20"/>
                <w:lang w:val="en-GB"/>
              </w:rPr>
              <w:t>Marine Pollution Control</w:t>
            </w:r>
          </w:p>
        </w:tc>
        <w:tc>
          <w:tcPr>
            <w:tcW w:w="1913" w:type="dxa"/>
            <w:vAlign w:val="bottom"/>
          </w:tcPr>
          <w:p w:rsidR="00805696" w:rsidRPr="00E04A13" w:rsidRDefault="00805696" w:rsidP="00805696">
            <w:pPr>
              <w:spacing w:before="60" w:after="60"/>
              <w:jc w:val="right"/>
              <w:rPr>
                <w:rFonts w:cs="Arial"/>
                <w:color w:val="000000"/>
                <w:sz w:val="20"/>
                <w:szCs w:val="20"/>
                <w:lang w:val="en-GB"/>
              </w:rPr>
            </w:pPr>
            <w:r w:rsidRPr="00E04A13">
              <w:rPr>
                <w:rFonts w:cs="Arial"/>
                <w:color w:val="000000"/>
                <w:sz w:val="20"/>
                <w:szCs w:val="20"/>
                <w:lang w:val="en-GB"/>
              </w:rPr>
              <w:t>3.2%</w:t>
            </w:r>
          </w:p>
        </w:tc>
        <w:tc>
          <w:tcPr>
            <w:tcW w:w="1914" w:type="dxa"/>
            <w:vAlign w:val="bottom"/>
          </w:tcPr>
          <w:p w:rsidR="00805696" w:rsidRPr="00E04A13" w:rsidRDefault="00805696" w:rsidP="00805696">
            <w:pPr>
              <w:spacing w:before="60" w:after="60"/>
              <w:jc w:val="right"/>
              <w:rPr>
                <w:rFonts w:cs="Arial"/>
                <w:color w:val="000000"/>
                <w:sz w:val="20"/>
                <w:szCs w:val="20"/>
                <w:lang w:val="en-GB"/>
              </w:rPr>
            </w:pPr>
            <w:r w:rsidRPr="00E04A13">
              <w:rPr>
                <w:rFonts w:cs="Arial"/>
                <w:color w:val="000000"/>
                <w:sz w:val="20"/>
                <w:szCs w:val="20"/>
                <w:lang w:val="en-GB"/>
              </w:rPr>
              <w:t>0.1%</w:t>
            </w:r>
          </w:p>
        </w:tc>
      </w:tr>
      <w:tr w:rsidR="00805696" w:rsidRPr="00E04A13">
        <w:trPr>
          <w:trHeight w:val="20"/>
        </w:trPr>
        <w:tc>
          <w:tcPr>
            <w:tcW w:w="5353" w:type="dxa"/>
            <w:vAlign w:val="bottom"/>
          </w:tcPr>
          <w:p w:rsidR="00805696" w:rsidRPr="00E04A13" w:rsidRDefault="00805696" w:rsidP="00805696">
            <w:pPr>
              <w:spacing w:before="60" w:after="60"/>
              <w:jc w:val="left"/>
              <w:rPr>
                <w:rFonts w:cs="Arial"/>
                <w:sz w:val="20"/>
                <w:szCs w:val="20"/>
                <w:lang w:val="en-GB"/>
              </w:rPr>
            </w:pPr>
            <w:r w:rsidRPr="00E04A13">
              <w:rPr>
                <w:rFonts w:cs="Arial"/>
                <w:sz w:val="20"/>
                <w:szCs w:val="20"/>
                <w:lang w:val="en-GB"/>
              </w:rPr>
              <w:t>Noise &amp; Vibration control</w:t>
            </w:r>
          </w:p>
        </w:tc>
        <w:tc>
          <w:tcPr>
            <w:tcW w:w="1913" w:type="dxa"/>
            <w:vAlign w:val="bottom"/>
          </w:tcPr>
          <w:p w:rsidR="00805696" w:rsidRPr="00E04A13" w:rsidRDefault="00805696" w:rsidP="00805696">
            <w:pPr>
              <w:spacing w:before="60" w:after="60"/>
              <w:jc w:val="right"/>
              <w:rPr>
                <w:rFonts w:cs="Arial"/>
                <w:color w:val="000000"/>
                <w:sz w:val="20"/>
                <w:szCs w:val="20"/>
                <w:lang w:val="en-GB"/>
              </w:rPr>
            </w:pPr>
            <w:r w:rsidRPr="00E04A13">
              <w:rPr>
                <w:rFonts w:cs="Arial"/>
                <w:color w:val="000000"/>
                <w:sz w:val="20"/>
                <w:szCs w:val="20"/>
                <w:lang w:val="en-GB"/>
              </w:rPr>
              <w:t>3.3%</w:t>
            </w:r>
          </w:p>
        </w:tc>
        <w:tc>
          <w:tcPr>
            <w:tcW w:w="1914" w:type="dxa"/>
            <w:vAlign w:val="bottom"/>
          </w:tcPr>
          <w:p w:rsidR="00805696" w:rsidRPr="00E04A13" w:rsidRDefault="00805696" w:rsidP="00805696">
            <w:pPr>
              <w:spacing w:before="60" w:after="60"/>
              <w:jc w:val="right"/>
              <w:rPr>
                <w:rFonts w:cs="Arial"/>
                <w:color w:val="000000"/>
                <w:sz w:val="20"/>
                <w:szCs w:val="20"/>
                <w:lang w:val="en-GB"/>
              </w:rPr>
            </w:pPr>
            <w:r w:rsidRPr="00E04A13">
              <w:rPr>
                <w:rFonts w:cs="Arial"/>
                <w:color w:val="000000"/>
                <w:sz w:val="20"/>
                <w:szCs w:val="20"/>
                <w:lang w:val="en-GB"/>
              </w:rPr>
              <w:t>0.2%</w:t>
            </w:r>
          </w:p>
        </w:tc>
      </w:tr>
      <w:tr w:rsidR="00805696" w:rsidRPr="00E04A13">
        <w:trPr>
          <w:trHeight w:val="20"/>
        </w:trPr>
        <w:tc>
          <w:tcPr>
            <w:tcW w:w="5353" w:type="dxa"/>
            <w:vAlign w:val="bottom"/>
          </w:tcPr>
          <w:p w:rsidR="00805696" w:rsidRPr="00E04A13" w:rsidRDefault="00805696" w:rsidP="00805696">
            <w:pPr>
              <w:spacing w:before="60" w:after="60"/>
              <w:jc w:val="left"/>
              <w:rPr>
                <w:rFonts w:cs="Arial"/>
                <w:sz w:val="20"/>
                <w:szCs w:val="20"/>
                <w:lang w:val="en-GB"/>
              </w:rPr>
            </w:pPr>
            <w:r w:rsidRPr="00E04A13">
              <w:rPr>
                <w:rFonts w:cs="Arial"/>
                <w:sz w:val="20"/>
                <w:szCs w:val="20"/>
                <w:lang w:val="en-GB"/>
              </w:rPr>
              <w:t>Recovery and Recycling</w:t>
            </w:r>
          </w:p>
        </w:tc>
        <w:tc>
          <w:tcPr>
            <w:tcW w:w="1913" w:type="dxa"/>
            <w:vAlign w:val="bottom"/>
          </w:tcPr>
          <w:p w:rsidR="00805696" w:rsidRPr="00E04A13" w:rsidRDefault="00805696" w:rsidP="00805696">
            <w:pPr>
              <w:spacing w:before="60" w:after="60"/>
              <w:jc w:val="right"/>
              <w:rPr>
                <w:rFonts w:cs="Arial"/>
                <w:color w:val="000000"/>
                <w:sz w:val="20"/>
                <w:szCs w:val="20"/>
                <w:lang w:val="en-GB"/>
              </w:rPr>
            </w:pPr>
            <w:r w:rsidRPr="00E04A13">
              <w:rPr>
                <w:rFonts w:cs="Arial"/>
                <w:color w:val="000000"/>
                <w:sz w:val="20"/>
                <w:szCs w:val="20"/>
                <w:lang w:val="en-GB"/>
              </w:rPr>
              <w:t>3.0%</w:t>
            </w:r>
          </w:p>
        </w:tc>
        <w:tc>
          <w:tcPr>
            <w:tcW w:w="1914" w:type="dxa"/>
            <w:vAlign w:val="bottom"/>
          </w:tcPr>
          <w:p w:rsidR="00805696" w:rsidRPr="00E04A13" w:rsidRDefault="00805696" w:rsidP="00805696">
            <w:pPr>
              <w:spacing w:before="60" w:after="60"/>
              <w:jc w:val="right"/>
              <w:rPr>
                <w:rFonts w:cs="Arial"/>
                <w:color w:val="000000"/>
                <w:sz w:val="20"/>
                <w:szCs w:val="20"/>
                <w:lang w:val="en-GB"/>
              </w:rPr>
            </w:pPr>
            <w:r w:rsidRPr="00E04A13">
              <w:rPr>
                <w:rFonts w:cs="Arial"/>
                <w:color w:val="000000"/>
                <w:sz w:val="20"/>
                <w:szCs w:val="20"/>
                <w:lang w:val="en-GB"/>
              </w:rPr>
              <w:t>6.1%</w:t>
            </w:r>
          </w:p>
        </w:tc>
      </w:tr>
      <w:tr w:rsidR="00805696" w:rsidRPr="00E04A13">
        <w:trPr>
          <w:trHeight w:val="20"/>
        </w:trPr>
        <w:tc>
          <w:tcPr>
            <w:tcW w:w="5353" w:type="dxa"/>
            <w:vAlign w:val="bottom"/>
          </w:tcPr>
          <w:p w:rsidR="00805696" w:rsidRPr="00E04A13" w:rsidRDefault="00805696" w:rsidP="00805696">
            <w:pPr>
              <w:spacing w:before="60" w:after="60"/>
              <w:jc w:val="left"/>
              <w:rPr>
                <w:rFonts w:cs="Arial"/>
                <w:sz w:val="20"/>
                <w:szCs w:val="20"/>
                <w:lang w:val="en-GB"/>
              </w:rPr>
            </w:pPr>
            <w:r w:rsidRPr="00E04A13">
              <w:rPr>
                <w:rFonts w:cs="Arial"/>
                <w:sz w:val="20"/>
                <w:szCs w:val="20"/>
                <w:lang w:val="en-GB"/>
              </w:rPr>
              <w:t>Waste Management</w:t>
            </w:r>
          </w:p>
        </w:tc>
        <w:tc>
          <w:tcPr>
            <w:tcW w:w="1913" w:type="dxa"/>
            <w:vAlign w:val="bottom"/>
          </w:tcPr>
          <w:p w:rsidR="00805696" w:rsidRPr="00E04A13" w:rsidRDefault="00805696" w:rsidP="00805696">
            <w:pPr>
              <w:spacing w:before="60" w:after="60"/>
              <w:jc w:val="right"/>
              <w:rPr>
                <w:rFonts w:cs="Arial"/>
                <w:color w:val="000000"/>
                <w:sz w:val="20"/>
                <w:szCs w:val="20"/>
                <w:lang w:val="en-GB"/>
              </w:rPr>
            </w:pPr>
            <w:r w:rsidRPr="00E04A13">
              <w:rPr>
                <w:rFonts w:cs="Arial"/>
                <w:color w:val="000000"/>
                <w:sz w:val="20"/>
                <w:szCs w:val="20"/>
                <w:lang w:val="en-GB"/>
              </w:rPr>
              <w:t>2.6%</w:t>
            </w:r>
          </w:p>
        </w:tc>
        <w:tc>
          <w:tcPr>
            <w:tcW w:w="1914" w:type="dxa"/>
            <w:vAlign w:val="bottom"/>
          </w:tcPr>
          <w:p w:rsidR="00805696" w:rsidRPr="00E04A13" w:rsidRDefault="00805696" w:rsidP="00805696">
            <w:pPr>
              <w:spacing w:before="60" w:after="60"/>
              <w:jc w:val="right"/>
              <w:rPr>
                <w:rFonts w:cs="Arial"/>
                <w:color w:val="000000"/>
                <w:sz w:val="20"/>
                <w:szCs w:val="20"/>
                <w:lang w:val="en-GB"/>
              </w:rPr>
            </w:pPr>
            <w:r w:rsidRPr="00E04A13">
              <w:rPr>
                <w:rFonts w:cs="Arial"/>
                <w:color w:val="000000"/>
                <w:sz w:val="20"/>
                <w:szCs w:val="20"/>
                <w:lang w:val="en-GB"/>
              </w:rPr>
              <w:t>4.5%</w:t>
            </w:r>
          </w:p>
        </w:tc>
      </w:tr>
      <w:tr w:rsidR="00805696" w:rsidRPr="00E04A13">
        <w:trPr>
          <w:trHeight w:val="20"/>
        </w:trPr>
        <w:tc>
          <w:tcPr>
            <w:tcW w:w="5353" w:type="dxa"/>
            <w:vAlign w:val="bottom"/>
          </w:tcPr>
          <w:p w:rsidR="00805696" w:rsidRPr="00E04A13" w:rsidRDefault="00805696" w:rsidP="00805696">
            <w:pPr>
              <w:spacing w:before="60" w:after="60"/>
              <w:jc w:val="left"/>
              <w:rPr>
                <w:rFonts w:cs="Arial"/>
                <w:sz w:val="20"/>
                <w:szCs w:val="20"/>
                <w:lang w:val="en-GB"/>
              </w:rPr>
            </w:pPr>
            <w:r w:rsidRPr="00E04A13">
              <w:rPr>
                <w:rFonts w:cs="Arial"/>
                <w:sz w:val="20"/>
                <w:szCs w:val="20"/>
                <w:lang w:val="en-GB"/>
              </w:rPr>
              <w:t>Water Supply and Waste water Treatment</w:t>
            </w:r>
          </w:p>
        </w:tc>
        <w:tc>
          <w:tcPr>
            <w:tcW w:w="1913" w:type="dxa"/>
            <w:vAlign w:val="bottom"/>
          </w:tcPr>
          <w:p w:rsidR="00805696" w:rsidRPr="00E04A13" w:rsidRDefault="00805696" w:rsidP="00805696">
            <w:pPr>
              <w:spacing w:before="60" w:after="60"/>
              <w:jc w:val="right"/>
              <w:rPr>
                <w:rFonts w:cs="Arial"/>
                <w:color w:val="000000"/>
                <w:sz w:val="20"/>
                <w:szCs w:val="20"/>
                <w:lang w:val="en-GB"/>
              </w:rPr>
            </w:pPr>
            <w:r w:rsidRPr="00E04A13">
              <w:rPr>
                <w:rFonts w:cs="Arial"/>
                <w:color w:val="000000"/>
                <w:sz w:val="20"/>
                <w:szCs w:val="20"/>
                <w:lang w:val="en-GB"/>
              </w:rPr>
              <w:t>2.4%</w:t>
            </w:r>
          </w:p>
        </w:tc>
        <w:tc>
          <w:tcPr>
            <w:tcW w:w="1914" w:type="dxa"/>
            <w:vAlign w:val="bottom"/>
          </w:tcPr>
          <w:p w:rsidR="00805696" w:rsidRPr="00E04A13" w:rsidRDefault="00805696" w:rsidP="00805696">
            <w:pPr>
              <w:spacing w:before="60" w:after="60"/>
              <w:jc w:val="right"/>
              <w:rPr>
                <w:rFonts w:cs="Arial"/>
                <w:color w:val="000000"/>
                <w:sz w:val="20"/>
                <w:szCs w:val="20"/>
                <w:lang w:val="en-GB"/>
              </w:rPr>
            </w:pPr>
            <w:r w:rsidRPr="00E04A13">
              <w:rPr>
                <w:rFonts w:cs="Arial"/>
                <w:color w:val="000000"/>
                <w:sz w:val="20"/>
                <w:szCs w:val="20"/>
                <w:lang w:val="en-GB"/>
              </w:rPr>
              <w:t>7.5%</w:t>
            </w:r>
          </w:p>
        </w:tc>
      </w:tr>
      <w:tr w:rsidR="00805696" w:rsidRPr="00E04A13">
        <w:trPr>
          <w:trHeight w:val="20"/>
        </w:trPr>
        <w:tc>
          <w:tcPr>
            <w:tcW w:w="5353" w:type="dxa"/>
            <w:vAlign w:val="bottom"/>
          </w:tcPr>
          <w:p w:rsidR="00805696" w:rsidRPr="00E04A13" w:rsidRDefault="00805696" w:rsidP="00805696">
            <w:pPr>
              <w:spacing w:before="60" w:after="60"/>
              <w:jc w:val="left"/>
              <w:rPr>
                <w:rFonts w:cs="Arial"/>
                <w:sz w:val="20"/>
                <w:szCs w:val="20"/>
                <w:lang w:val="en-GB"/>
              </w:rPr>
            </w:pPr>
            <w:r w:rsidRPr="00E04A13">
              <w:rPr>
                <w:rFonts w:cs="Arial"/>
                <w:sz w:val="20"/>
                <w:szCs w:val="20"/>
                <w:lang w:val="en-GB"/>
              </w:rPr>
              <w:t>Additional Energy sources</w:t>
            </w:r>
          </w:p>
        </w:tc>
        <w:tc>
          <w:tcPr>
            <w:tcW w:w="1913" w:type="dxa"/>
            <w:vAlign w:val="bottom"/>
          </w:tcPr>
          <w:p w:rsidR="00805696" w:rsidRPr="00E04A13" w:rsidRDefault="00805696" w:rsidP="00805696">
            <w:pPr>
              <w:spacing w:before="60" w:after="60"/>
              <w:jc w:val="right"/>
              <w:rPr>
                <w:rFonts w:cs="Arial"/>
                <w:color w:val="000000"/>
                <w:sz w:val="20"/>
                <w:szCs w:val="20"/>
                <w:lang w:val="en-GB"/>
              </w:rPr>
            </w:pPr>
            <w:r w:rsidRPr="00E04A13">
              <w:rPr>
                <w:rFonts w:cs="Arial"/>
                <w:color w:val="000000"/>
                <w:sz w:val="20"/>
                <w:szCs w:val="20"/>
                <w:lang w:val="en-GB"/>
              </w:rPr>
              <w:t>11.4%</w:t>
            </w:r>
          </w:p>
        </w:tc>
        <w:tc>
          <w:tcPr>
            <w:tcW w:w="1914" w:type="dxa"/>
            <w:vAlign w:val="bottom"/>
          </w:tcPr>
          <w:p w:rsidR="00805696" w:rsidRPr="00E04A13" w:rsidRDefault="00805696" w:rsidP="00805696">
            <w:pPr>
              <w:spacing w:before="60" w:after="60"/>
              <w:jc w:val="right"/>
              <w:rPr>
                <w:rFonts w:cs="Arial"/>
                <w:color w:val="000000"/>
                <w:sz w:val="20"/>
                <w:szCs w:val="20"/>
                <w:lang w:val="en-GB"/>
              </w:rPr>
            </w:pPr>
            <w:r w:rsidRPr="00E04A13">
              <w:rPr>
                <w:rFonts w:cs="Arial"/>
                <w:color w:val="000000"/>
                <w:sz w:val="20"/>
                <w:szCs w:val="20"/>
                <w:lang w:val="en-GB"/>
              </w:rPr>
              <w:t>1.5%</w:t>
            </w:r>
          </w:p>
        </w:tc>
      </w:tr>
      <w:tr w:rsidR="00805696" w:rsidRPr="00E04A13">
        <w:trPr>
          <w:trHeight w:val="20"/>
        </w:trPr>
        <w:tc>
          <w:tcPr>
            <w:tcW w:w="5353" w:type="dxa"/>
            <w:vAlign w:val="bottom"/>
          </w:tcPr>
          <w:p w:rsidR="00805696" w:rsidRPr="00E04A13" w:rsidRDefault="00805696" w:rsidP="00805696">
            <w:pPr>
              <w:spacing w:before="60" w:after="60"/>
              <w:jc w:val="left"/>
              <w:rPr>
                <w:rFonts w:cs="Arial"/>
                <w:sz w:val="20"/>
                <w:szCs w:val="20"/>
                <w:lang w:val="en-GB"/>
              </w:rPr>
            </w:pPr>
            <w:r w:rsidRPr="00E04A13">
              <w:rPr>
                <w:rFonts w:cs="Arial"/>
                <w:sz w:val="20"/>
                <w:szCs w:val="20"/>
                <w:lang w:val="en-GB"/>
              </w:rPr>
              <w:t>Alternative Fuel Vehicles</w:t>
            </w:r>
          </w:p>
        </w:tc>
        <w:tc>
          <w:tcPr>
            <w:tcW w:w="1913" w:type="dxa"/>
            <w:vAlign w:val="bottom"/>
          </w:tcPr>
          <w:p w:rsidR="00805696" w:rsidRPr="00E04A13" w:rsidRDefault="00805696" w:rsidP="00805696">
            <w:pPr>
              <w:spacing w:before="60" w:after="60"/>
              <w:jc w:val="right"/>
              <w:rPr>
                <w:rFonts w:cs="Arial"/>
                <w:color w:val="000000"/>
                <w:sz w:val="20"/>
                <w:szCs w:val="20"/>
                <w:lang w:val="en-GB"/>
              </w:rPr>
            </w:pPr>
            <w:r w:rsidRPr="00E04A13">
              <w:rPr>
                <w:rFonts w:cs="Arial"/>
                <w:color w:val="000000"/>
                <w:sz w:val="20"/>
                <w:szCs w:val="20"/>
                <w:lang w:val="en-GB"/>
              </w:rPr>
              <w:t>1.1%</w:t>
            </w:r>
          </w:p>
        </w:tc>
        <w:tc>
          <w:tcPr>
            <w:tcW w:w="1914" w:type="dxa"/>
            <w:vAlign w:val="bottom"/>
          </w:tcPr>
          <w:p w:rsidR="00805696" w:rsidRPr="00E04A13" w:rsidRDefault="00805696" w:rsidP="00805696">
            <w:pPr>
              <w:spacing w:before="60" w:after="60"/>
              <w:jc w:val="right"/>
              <w:rPr>
                <w:rFonts w:cs="Arial"/>
                <w:color w:val="000000"/>
                <w:sz w:val="20"/>
                <w:szCs w:val="20"/>
                <w:lang w:val="en-GB"/>
              </w:rPr>
            </w:pPr>
            <w:r w:rsidRPr="00E04A13">
              <w:rPr>
                <w:rFonts w:cs="Arial"/>
                <w:color w:val="000000"/>
                <w:sz w:val="20"/>
                <w:szCs w:val="20"/>
                <w:lang w:val="en-GB"/>
              </w:rPr>
              <w:t>10.3%</w:t>
            </w:r>
          </w:p>
        </w:tc>
      </w:tr>
      <w:tr w:rsidR="00805696" w:rsidRPr="00E04A13">
        <w:trPr>
          <w:trHeight w:val="20"/>
        </w:trPr>
        <w:tc>
          <w:tcPr>
            <w:tcW w:w="5353" w:type="dxa"/>
            <w:vAlign w:val="bottom"/>
          </w:tcPr>
          <w:p w:rsidR="00805696" w:rsidRPr="00E04A13" w:rsidRDefault="00805696" w:rsidP="00805696">
            <w:pPr>
              <w:spacing w:before="60" w:after="60"/>
              <w:jc w:val="left"/>
              <w:rPr>
                <w:rFonts w:cs="Arial"/>
                <w:sz w:val="20"/>
                <w:szCs w:val="20"/>
                <w:lang w:val="en-GB"/>
              </w:rPr>
            </w:pPr>
            <w:r w:rsidRPr="00E04A13">
              <w:rPr>
                <w:rFonts w:cs="Arial"/>
                <w:sz w:val="20"/>
                <w:szCs w:val="20"/>
                <w:lang w:val="en-GB"/>
              </w:rPr>
              <w:t>Alternative Fuels</w:t>
            </w:r>
          </w:p>
        </w:tc>
        <w:tc>
          <w:tcPr>
            <w:tcW w:w="1913" w:type="dxa"/>
            <w:vAlign w:val="bottom"/>
          </w:tcPr>
          <w:p w:rsidR="00805696" w:rsidRPr="00E04A13" w:rsidRDefault="00805696" w:rsidP="00805696">
            <w:pPr>
              <w:spacing w:before="60" w:after="60"/>
              <w:jc w:val="right"/>
              <w:rPr>
                <w:rFonts w:cs="Arial"/>
                <w:color w:val="000000"/>
                <w:sz w:val="20"/>
                <w:szCs w:val="20"/>
                <w:lang w:val="en-GB"/>
              </w:rPr>
            </w:pPr>
            <w:r w:rsidRPr="00E04A13">
              <w:rPr>
                <w:rFonts w:cs="Arial"/>
                <w:color w:val="000000"/>
                <w:sz w:val="20"/>
                <w:szCs w:val="20"/>
                <w:lang w:val="en-GB"/>
              </w:rPr>
              <w:t>4.6%</w:t>
            </w:r>
          </w:p>
        </w:tc>
        <w:tc>
          <w:tcPr>
            <w:tcW w:w="1914" w:type="dxa"/>
            <w:vAlign w:val="bottom"/>
          </w:tcPr>
          <w:p w:rsidR="00805696" w:rsidRPr="00E04A13" w:rsidRDefault="00805696" w:rsidP="00805696">
            <w:pPr>
              <w:spacing w:before="60" w:after="60"/>
              <w:jc w:val="right"/>
              <w:rPr>
                <w:rFonts w:cs="Arial"/>
                <w:color w:val="000000"/>
                <w:sz w:val="20"/>
                <w:szCs w:val="20"/>
                <w:lang w:val="en-GB"/>
              </w:rPr>
            </w:pPr>
            <w:r w:rsidRPr="00E04A13">
              <w:rPr>
                <w:rFonts w:cs="Arial"/>
                <w:color w:val="000000"/>
                <w:sz w:val="20"/>
                <w:szCs w:val="20"/>
                <w:lang w:val="en-GB"/>
              </w:rPr>
              <w:t>16.2%</w:t>
            </w:r>
          </w:p>
        </w:tc>
      </w:tr>
      <w:tr w:rsidR="00805696" w:rsidRPr="00E04A13">
        <w:trPr>
          <w:trHeight w:val="20"/>
        </w:trPr>
        <w:tc>
          <w:tcPr>
            <w:tcW w:w="5353" w:type="dxa"/>
            <w:vAlign w:val="bottom"/>
          </w:tcPr>
          <w:p w:rsidR="00805696" w:rsidRPr="00E04A13" w:rsidRDefault="00805696" w:rsidP="00805696">
            <w:pPr>
              <w:spacing w:before="60" w:after="60"/>
              <w:jc w:val="left"/>
              <w:rPr>
                <w:rFonts w:cs="Arial"/>
                <w:sz w:val="20"/>
                <w:szCs w:val="20"/>
                <w:lang w:val="en-GB"/>
              </w:rPr>
            </w:pPr>
            <w:r w:rsidRPr="00E04A13">
              <w:rPr>
                <w:rFonts w:cs="Arial"/>
                <w:sz w:val="20"/>
                <w:szCs w:val="20"/>
                <w:lang w:val="en-GB"/>
              </w:rPr>
              <w:t>Nuclear Power</w:t>
            </w:r>
          </w:p>
        </w:tc>
        <w:tc>
          <w:tcPr>
            <w:tcW w:w="1913" w:type="dxa"/>
            <w:vAlign w:val="bottom"/>
          </w:tcPr>
          <w:p w:rsidR="00805696" w:rsidRPr="00E04A13" w:rsidRDefault="00805696" w:rsidP="00805696">
            <w:pPr>
              <w:spacing w:before="60" w:after="60"/>
              <w:jc w:val="right"/>
              <w:rPr>
                <w:rFonts w:cs="Arial"/>
                <w:color w:val="000000"/>
                <w:sz w:val="20"/>
                <w:szCs w:val="20"/>
                <w:lang w:val="en-GB"/>
              </w:rPr>
            </w:pPr>
            <w:r w:rsidRPr="00E04A13">
              <w:rPr>
                <w:rFonts w:cs="Arial"/>
                <w:color w:val="000000"/>
                <w:sz w:val="20"/>
                <w:szCs w:val="20"/>
                <w:lang w:val="en-GB"/>
              </w:rPr>
              <w:t>1.1%</w:t>
            </w:r>
          </w:p>
        </w:tc>
        <w:tc>
          <w:tcPr>
            <w:tcW w:w="1914" w:type="dxa"/>
            <w:vAlign w:val="bottom"/>
          </w:tcPr>
          <w:p w:rsidR="00805696" w:rsidRPr="00E04A13" w:rsidRDefault="00805696" w:rsidP="00805696">
            <w:pPr>
              <w:spacing w:before="60" w:after="60"/>
              <w:jc w:val="right"/>
              <w:rPr>
                <w:rFonts w:cs="Arial"/>
                <w:color w:val="000000"/>
                <w:sz w:val="20"/>
                <w:szCs w:val="20"/>
                <w:lang w:val="en-GB"/>
              </w:rPr>
            </w:pPr>
            <w:r w:rsidRPr="00E04A13">
              <w:rPr>
                <w:rFonts w:cs="Arial"/>
                <w:color w:val="000000"/>
                <w:sz w:val="20"/>
                <w:szCs w:val="20"/>
                <w:lang w:val="en-GB"/>
              </w:rPr>
              <w:t>2.8%</w:t>
            </w:r>
          </w:p>
        </w:tc>
      </w:tr>
      <w:tr w:rsidR="00805696" w:rsidRPr="00E04A13">
        <w:trPr>
          <w:trHeight w:val="20"/>
        </w:trPr>
        <w:tc>
          <w:tcPr>
            <w:tcW w:w="5353" w:type="dxa"/>
            <w:vAlign w:val="bottom"/>
          </w:tcPr>
          <w:p w:rsidR="00805696" w:rsidRPr="00E04A13" w:rsidRDefault="00805696" w:rsidP="00805696">
            <w:pPr>
              <w:spacing w:before="60" w:after="60"/>
              <w:jc w:val="left"/>
              <w:rPr>
                <w:rFonts w:cs="Arial"/>
                <w:sz w:val="20"/>
                <w:szCs w:val="20"/>
                <w:lang w:val="en-GB"/>
              </w:rPr>
            </w:pPr>
            <w:r w:rsidRPr="00E04A13">
              <w:rPr>
                <w:rFonts w:cs="Arial"/>
                <w:sz w:val="20"/>
                <w:szCs w:val="20"/>
                <w:lang w:val="en-GB"/>
              </w:rPr>
              <w:t>Building Technologies</w:t>
            </w:r>
          </w:p>
        </w:tc>
        <w:tc>
          <w:tcPr>
            <w:tcW w:w="1913" w:type="dxa"/>
            <w:vAlign w:val="bottom"/>
          </w:tcPr>
          <w:p w:rsidR="00805696" w:rsidRPr="00E04A13" w:rsidRDefault="00805696" w:rsidP="00805696">
            <w:pPr>
              <w:spacing w:before="60" w:after="60"/>
              <w:jc w:val="right"/>
              <w:rPr>
                <w:rFonts w:cs="Arial"/>
                <w:color w:val="000000"/>
                <w:sz w:val="20"/>
                <w:szCs w:val="20"/>
                <w:lang w:val="en-GB"/>
              </w:rPr>
            </w:pPr>
            <w:r w:rsidRPr="00E04A13">
              <w:rPr>
                <w:rFonts w:cs="Arial"/>
                <w:color w:val="000000"/>
                <w:sz w:val="20"/>
                <w:szCs w:val="20"/>
                <w:lang w:val="en-GB"/>
              </w:rPr>
              <w:t>2.8%</w:t>
            </w:r>
          </w:p>
        </w:tc>
        <w:tc>
          <w:tcPr>
            <w:tcW w:w="1914" w:type="dxa"/>
            <w:vAlign w:val="bottom"/>
          </w:tcPr>
          <w:p w:rsidR="00805696" w:rsidRPr="00E04A13" w:rsidRDefault="00805696" w:rsidP="00805696">
            <w:pPr>
              <w:spacing w:before="60" w:after="60"/>
              <w:jc w:val="right"/>
              <w:rPr>
                <w:rFonts w:cs="Arial"/>
                <w:color w:val="000000"/>
                <w:sz w:val="20"/>
                <w:szCs w:val="20"/>
                <w:lang w:val="en-GB"/>
              </w:rPr>
            </w:pPr>
            <w:r w:rsidRPr="00E04A13">
              <w:rPr>
                <w:rFonts w:cs="Arial"/>
                <w:color w:val="000000"/>
                <w:sz w:val="20"/>
                <w:szCs w:val="20"/>
                <w:lang w:val="en-GB"/>
              </w:rPr>
              <w:t>12.6%</w:t>
            </w:r>
          </w:p>
        </w:tc>
      </w:tr>
      <w:tr w:rsidR="00805696" w:rsidRPr="00E04A13">
        <w:trPr>
          <w:trHeight w:val="20"/>
        </w:trPr>
        <w:tc>
          <w:tcPr>
            <w:tcW w:w="5353" w:type="dxa"/>
            <w:vAlign w:val="bottom"/>
          </w:tcPr>
          <w:p w:rsidR="00805696" w:rsidRPr="00E04A13" w:rsidRDefault="00805696" w:rsidP="00805696">
            <w:pPr>
              <w:spacing w:before="60" w:after="60"/>
              <w:jc w:val="left"/>
              <w:rPr>
                <w:rFonts w:cs="Arial"/>
                <w:sz w:val="20"/>
                <w:szCs w:val="20"/>
                <w:lang w:val="en-GB"/>
              </w:rPr>
            </w:pPr>
            <w:r w:rsidRPr="00E04A13">
              <w:rPr>
                <w:rFonts w:cs="Arial"/>
                <w:sz w:val="20"/>
                <w:szCs w:val="20"/>
                <w:lang w:val="en-GB"/>
              </w:rPr>
              <w:t>Carbon Capture &amp; Storage</w:t>
            </w:r>
          </w:p>
        </w:tc>
        <w:tc>
          <w:tcPr>
            <w:tcW w:w="1913" w:type="dxa"/>
            <w:vAlign w:val="bottom"/>
          </w:tcPr>
          <w:p w:rsidR="00805696" w:rsidRPr="00E04A13" w:rsidRDefault="00805696" w:rsidP="00805696">
            <w:pPr>
              <w:spacing w:before="60" w:after="60"/>
              <w:jc w:val="right"/>
              <w:rPr>
                <w:rFonts w:cs="Arial"/>
                <w:color w:val="000000"/>
                <w:sz w:val="20"/>
                <w:szCs w:val="20"/>
                <w:lang w:val="en-GB"/>
              </w:rPr>
            </w:pPr>
            <w:r w:rsidRPr="00E04A13">
              <w:rPr>
                <w:rFonts w:cs="Arial"/>
                <w:color w:val="000000"/>
                <w:sz w:val="20"/>
                <w:szCs w:val="20"/>
                <w:lang w:val="en-GB"/>
              </w:rPr>
              <w:t>3.2%</w:t>
            </w:r>
          </w:p>
        </w:tc>
        <w:tc>
          <w:tcPr>
            <w:tcW w:w="1914" w:type="dxa"/>
            <w:vAlign w:val="bottom"/>
          </w:tcPr>
          <w:p w:rsidR="00805696" w:rsidRPr="00E04A13" w:rsidRDefault="00805696" w:rsidP="00805696">
            <w:pPr>
              <w:spacing w:before="60" w:after="60"/>
              <w:jc w:val="right"/>
              <w:rPr>
                <w:rFonts w:cs="Arial"/>
                <w:color w:val="000000"/>
                <w:sz w:val="20"/>
                <w:szCs w:val="20"/>
                <w:lang w:val="en-GB"/>
              </w:rPr>
            </w:pPr>
            <w:r w:rsidRPr="00E04A13">
              <w:rPr>
                <w:rFonts w:cs="Arial"/>
                <w:color w:val="000000"/>
                <w:sz w:val="20"/>
                <w:szCs w:val="20"/>
                <w:lang w:val="en-GB"/>
              </w:rPr>
              <w:t>0.4%</w:t>
            </w:r>
          </w:p>
        </w:tc>
      </w:tr>
      <w:tr w:rsidR="00805696" w:rsidRPr="00E04A13">
        <w:trPr>
          <w:trHeight w:val="20"/>
        </w:trPr>
        <w:tc>
          <w:tcPr>
            <w:tcW w:w="5353" w:type="dxa"/>
            <w:vAlign w:val="bottom"/>
          </w:tcPr>
          <w:p w:rsidR="00805696" w:rsidRPr="00E04A13" w:rsidRDefault="00805696" w:rsidP="00805696">
            <w:pPr>
              <w:spacing w:before="60" w:after="60"/>
              <w:jc w:val="left"/>
              <w:rPr>
                <w:rFonts w:cs="Arial"/>
                <w:sz w:val="20"/>
                <w:szCs w:val="20"/>
                <w:lang w:val="en-GB"/>
              </w:rPr>
            </w:pPr>
            <w:r w:rsidRPr="00E04A13">
              <w:rPr>
                <w:rFonts w:cs="Arial"/>
                <w:sz w:val="20"/>
                <w:szCs w:val="20"/>
                <w:lang w:val="en-GB"/>
              </w:rPr>
              <w:t>Carbon Finance</w:t>
            </w:r>
          </w:p>
        </w:tc>
        <w:tc>
          <w:tcPr>
            <w:tcW w:w="1913" w:type="dxa"/>
            <w:vAlign w:val="bottom"/>
          </w:tcPr>
          <w:p w:rsidR="00805696" w:rsidRPr="00E04A13" w:rsidRDefault="00805696" w:rsidP="00805696">
            <w:pPr>
              <w:spacing w:before="60" w:after="60"/>
              <w:jc w:val="right"/>
              <w:rPr>
                <w:rFonts w:cs="Arial"/>
                <w:color w:val="000000"/>
                <w:sz w:val="20"/>
                <w:szCs w:val="20"/>
                <w:lang w:val="en-GB"/>
              </w:rPr>
            </w:pPr>
            <w:r w:rsidRPr="00E04A13">
              <w:rPr>
                <w:rFonts w:cs="Arial"/>
                <w:color w:val="000000"/>
                <w:sz w:val="20"/>
                <w:szCs w:val="20"/>
                <w:lang w:val="en-GB"/>
              </w:rPr>
              <w:t>8.1%</w:t>
            </w:r>
          </w:p>
        </w:tc>
        <w:tc>
          <w:tcPr>
            <w:tcW w:w="1914" w:type="dxa"/>
            <w:vAlign w:val="bottom"/>
          </w:tcPr>
          <w:p w:rsidR="00805696" w:rsidRPr="00E04A13" w:rsidRDefault="00805696" w:rsidP="00805696">
            <w:pPr>
              <w:spacing w:before="60" w:after="60"/>
              <w:jc w:val="right"/>
              <w:rPr>
                <w:rFonts w:cs="Arial"/>
                <w:color w:val="000000"/>
                <w:sz w:val="20"/>
                <w:szCs w:val="20"/>
                <w:lang w:val="en-GB"/>
              </w:rPr>
            </w:pPr>
            <w:r w:rsidRPr="00E04A13">
              <w:rPr>
                <w:rFonts w:cs="Arial"/>
                <w:color w:val="000000"/>
                <w:sz w:val="20"/>
                <w:szCs w:val="20"/>
                <w:lang w:val="en-GB"/>
              </w:rPr>
              <w:t>1.2%</w:t>
            </w:r>
          </w:p>
        </w:tc>
      </w:tr>
      <w:tr w:rsidR="00805696" w:rsidRPr="00E04A13">
        <w:trPr>
          <w:trHeight w:val="20"/>
        </w:trPr>
        <w:tc>
          <w:tcPr>
            <w:tcW w:w="5353" w:type="dxa"/>
            <w:vAlign w:val="bottom"/>
          </w:tcPr>
          <w:p w:rsidR="00805696" w:rsidRPr="00E04A13" w:rsidRDefault="00805696" w:rsidP="00805696">
            <w:pPr>
              <w:spacing w:before="60" w:after="60"/>
              <w:jc w:val="left"/>
              <w:rPr>
                <w:rFonts w:cs="Arial"/>
                <w:sz w:val="20"/>
                <w:szCs w:val="20"/>
                <w:lang w:val="en-GB"/>
              </w:rPr>
            </w:pPr>
            <w:r w:rsidRPr="00E04A13">
              <w:rPr>
                <w:rFonts w:cs="Arial"/>
                <w:sz w:val="20"/>
                <w:szCs w:val="20"/>
                <w:lang w:val="en-GB"/>
              </w:rPr>
              <w:t>Energy Management</w:t>
            </w:r>
          </w:p>
        </w:tc>
        <w:tc>
          <w:tcPr>
            <w:tcW w:w="1913" w:type="dxa"/>
            <w:vAlign w:val="bottom"/>
          </w:tcPr>
          <w:p w:rsidR="00805696" w:rsidRPr="00E04A13" w:rsidRDefault="00805696" w:rsidP="00805696">
            <w:pPr>
              <w:spacing w:before="60" w:after="60"/>
              <w:jc w:val="right"/>
              <w:rPr>
                <w:rFonts w:cs="Arial"/>
                <w:color w:val="000000"/>
                <w:sz w:val="20"/>
                <w:szCs w:val="20"/>
                <w:lang w:val="en-GB"/>
              </w:rPr>
            </w:pPr>
            <w:r w:rsidRPr="00E04A13">
              <w:rPr>
                <w:rFonts w:cs="Arial"/>
                <w:color w:val="000000"/>
                <w:sz w:val="20"/>
                <w:szCs w:val="20"/>
                <w:lang w:val="en-GB"/>
              </w:rPr>
              <w:t>3.6%</w:t>
            </w:r>
          </w:p>
        </w:tc>
        <w:tc>
          <w:tcPr>
            <w:tcW w:w="1914" w:type="dxa"/>
            <w:vAlign w:val="bottom"/>
          </w:tcPr>
          <w:p w:rsidR="00805696" w:rsidRPr="00E04A13" w:rsidRDefault="00805696" w:rsidP="00805696">
            <w:pPr>
              <w:spacing w:before="60" w:after="60"/>
              <w:jc w:val="right"/>
              <w:rPr>
                <w:rFonts w:cs="Arial"/>
                <w:color w:val="000000"/>
                <w:sz w:val="20"/>
                <w:szCs w:val="20"/>
                <w:lang w:val="en-GB"/>
              </w:rPr>
            </w:pPr>
            <w:r w:rsidRPr="00E04A13">
              <w:rPr>
                <w:rFonts w:cs="Arial"/>
                <w:color w:val="000000"/>
                <w:sz w:val="20"/>
                <w:szCs w:val="20"/>
                <w:lang w:val="en-GB"/>
              </w:rPr>
              <w:t>2.4%</w:t>
            </w:r>
          </w:p>
        </w:tc>
      </w:tr>
      <w:tr w:rsidR="00805696" w:rsidRPr="00E04A13">
        <w:trPr>
          <w:trHeight w:val="20"/>
        </w:trPr>
        <w:tc>
          <w:tcPr>
            <w:tcW w:w="5353" w:type="dxa"/>
            <w:vAlign w:val="bottom"/>
          </w:tcPr>
          <w:p w:rsidR="00805696" w:rsidRPr="00E04A13" w:rsidRDefault="00805696" w:rsidP="00805696">
            <w:pPr>
              <w:spacing w:before="60" w:after="60"/>
              <w:jc w:val="left"/>
              <w:rPr>
                <w:rFonts w:cs="Arial"/>
                <w:sz w:val="20"/>
                <w:szCs w:val="20"/>
                <w:lang w:val="en-GB"/>
              </w:rPr>
            </w:pPr>
            <w:r w:rsidRPr="00E04A13">
              <w:rPr>
                <w:rFonts w:cs="Arial"/>
                <w:sz w:val="20"/>
                <w:szCs w:val="20"/>
                <w:lang w:val="en-GB"/>
              </w:rPr>
              <w:t>Biomass</w:t>
            </w:r>
          </w:p>
        </w:tc>
        <w:tc>
          <w:tcPr>
            <w:tcW w:w="1913" w:type="dxa"/>
            <w:vAlign w:val="bottom"/>
          </w:tcPr>
          <w:p w:rsidR="00805696" w:rsidRPr="00E04A13" w:rsidRDefault="00805696" w:rsidP="00805696">
            <w:pPr>
              <w:spacing w:before="60" w:after="60"/>
              <w:jc w:val="right"/>
              <w:rPr>
                <w:rFonts w:cs="Arial"/>
                <w:color w:val="000000"/>
                <w:sz w:val="20"/>
                <w:szCs w:val="20"/>
                <w:lang w:val="en-GB"/>
              </w:rPr>
            </w:pPr>
            <w:r w:rsidRPr="00E04A13">
              <w:rPr>
                <w:rFonts w:cs="Arial"/>
                <w:color w:val="000000"/>
                <w:sz w:val="20"/>
                <w:szCs w:val="20"/>
                <w:lang w:val="en-GB"/>
              </w:rPr>
              <w:t>3.4%</w:t>
            </w:r>
          </w:p>
        </w:tc>
        <w:tc>
          <w:tcPr>
            <w:tcW w:w="1914" w:type="dxa"/>
            <w:vAlign w:val="bottom"/>
          </w:tcPr>
          <w:p w:rsidR="00805696" w:rsidRPr="00E04A13" w:rsidRDefault="00805696" w:rsidP="00805696">
            <w:pPr>
              <w:spacing w:before="60" w:after="60"/>
              <w:jc w:val="right"/>
              <w:rPr>
                <w:rFonts w:cs="Arial"/>
                <w:color w:val="000000"/>
                <w:sz w:val="20"/>
                <w:szCs w:val="20"/>
                <w:lang w:val="en-GB"/>
              </w:rPr>
            </w:pPr>
            <w:r w:rsidRPr="00E04A13">
              <w:rPr>
                <w:rFonts w:cs="Arial"/>
                <w:color w:val="000000"/>
                <w:sz w:val="20"/>
                <w:szCs w:val="20"/>
                <w:lang w:val="en-GB"/>
              </w:rPr>
              <w:t>4.6%</w:t>
            </w:r>
          </w:p>
        </w:tc>
      </w:tr>
      <w:tr w:rsidR="00805696" w:rsidRPr="00E04A13">
        <w:trPr>
          <w:trHeight w:val="20"/>
        </w:trPr>
        <w:tc>
          <w:tcPr>
            <w:tcW w:w="5353" w:type="dxa"/>
            <w:vAlign w:val="bottom"/>
          </w:tcPr>
          <w:p w:rsidR="00805696" w:rsidRPr="00E04A13" w:rsidRDefault="00805696" w:rsidP="00805696">
            <w:pPr>
              <w:spacing w:before="60" w:after="60"/>
              <w:jc w:val="left"/>
              <w:rPr>
                <w:rFonts w:cs="Arial"/>
                <w:sz w:val="20"/>
                <w:szCs w:val="20"/>
                <w:lang w:val="en-GB"/>
              </w:rPr>
            </w:pPr>
            <w:r w:rsidRPr="00E04A13">
              <w:rPr>
                <w:rFonts w:cs="Arial"/>
                <w:sz w:val="20"/>
                <w:szCs w:val="20"/>
                <w:lang w:val="en-GB"/>
              </w:rPr>
              <w:t>Geothermal</w:t>
            </w:r>
          </w:p>
        </w:tc>
        <w:tc>
          <w:tcPr>
            <w:tcW w:w="1913" w:type="dxa"/>
            <w:vAlign w:val="bottom"/>
          </w:tcPr>
          <w:p w:rsidR="00805696" w:rsidRPr="00E04A13" w:rsidRDefault="00805696" w:rsidP="00805696">
            <w:pPr>
              <w:spacing w:before="60" w:after="60"/>
              <w:jc w:val="right"/>
              <w:rPr>
                <w:rFonts w:cs="Arial"/>
                <w:color w:val="000000"/>
                <w:sz w:val="20"/>
                <w:szCs w:val="20"/>
                <w:lang w:val="en-GB"/>
              </w:rPr>
            </w:pPr>
            <w:r w:rsidRPr="00E04A13">
              <w:rPr>
                <w:rFonts w:cs="Arial"/>
                <w:color w:val="000000"/>
                <w:sz w:val="20"/>
                <w:szCs w:val="20"/>
                <w:lang w:val="en-GB"/>
              </w:rPr>
              <w:t>2.9%</w:t>
            </w:r>
          </w:p>
        </w:tc>
        <w:tc>
          <w:tcPr>
            <w:tcW w:w="1914" w:type="dxa"/>
            <w:vAlign w:val="bottom"/>
          </w:tcPr>
          <w:p w:rsidR="00805696" w:rsidRPr="00E04A13" w:rsidRDefault="00805696" w:rsidP="00805696">
            <w:pPr>
              <w:spacing w:before="60" w:after="60"/>
              <w:jc w:val="right"/>
              <w:rPr>
                <w:rFonts w:cs="Arial"/>
                <w:color w:val="000000"/>
                <w:sz w:val="20"/>
                <w:szCs w:val="20"/>
                <w:lang w:val="en-GB"/>
              </w:rPr>
            </w:pPr>
            <w:r w:rsidRPr="00E04A13">
              <w:rPr>
                <w:rFonts w:cs="Arial"/>
                <w:color w:val="000000"/>
                <w:sz w:val="20"/>
                <w:szCs w:val="20"/>
                <w:lang w:val="en-GB"/>
              </w:rPr>
              <w:t>9.0%</w:t>
            </w:r>
          </w:p>
        </w:tc>
      </w:tr>
      <w:tr w:rsidR="00805696" w:rsidRPr="00E04A13">
        <w:trPr>
          <w:trHeight w:val="20"/>
        </w:trPr>
        <w:tc>
          <w:tcPr>
            <w:tcW w:w="5353" w:type="dxa"/>
            <w:vAlign w:val="bottom"/>
          </w:tcPr>
          <w:p w:rsidR="00805696" w:rsidRPr="00E04A13" w:rsidRDefault="00805696" w:rsidP="00805696">
            <w:pPr>
              <w:spacing w:before="60" w:after="60"/>
              <w:jc w:val="left"/>
              <w:rPr>
                <w:rFonts w:cs="Arial"/>
                <w:sz w:val="20"/>
                <w:szCs w:val="20"/>
                <w:lang w:val="en-GB"/>
              </w:rPr>
            </w:pPr>
            <w:r w:rsidRPr="00E04A13">
              <w:rPr>
                <w:rFonts w:cs="Arial"/>
                <w:sz w:val="20"/>
                <w:szCs w:val="20"/>
                <w:lang w:val="en-GB"/>
              </w:rPr>
              <w:t>Hydro</w:t>
            </w:r>
          </w:p>
        </w:tc>
        <w:tc>
          <w:tcPr>
            <w:tcW w:w="1913" w:type="dxa"/>
            <w:vAlign w:val="bottom"/>
          </w:tcPr>
          <w:p w:rsidR="00805696" w:rsidRPr="00E04A13" w:rsidRDefault="00805696" w:rsidP="00805696">
            <w:pPr>
              <w:spacing w:before="60" w:after="60"/>
              <w:jc w:val="right"/>
              <w:rPr>
                <w:rFonts w:cs="Arial"/>
                <w:color w:val="000000"/>
                <w:sz w:val="20"/>
                <w:szCs w:val="20"/>
                <w:lang w:val="en-GB"/>
              </w:rPr>
            </w:pPr>
            <w:r w:rsidRPr="00E04A13">
              <w:rPr>
                <w:rFonts w:cs="Arial"/>
                <w:color w:val="000000"/>
                <w:sz w:val="20"/>
                <w:szCs w:val="20"/>
                <w:lang w:val="en-GB"/>
              </w:rPr>
              <w:t>3.2%</w:t>
            </w:r>
          </w:p>
        </w:tc>
        <w:tc>
          <w:tcPr>
            <w:tcW w:w="1914" w:type="dxa"/>
            <w:vAlign w:val="bottom"/>
          </w:tcPr>
          <w:p w:rsidR="00805696" w:rsidRPr="00E04A13" w:rsidRDefault="00805696" w:rsidP="00805696">
            <w:pPr>
              <w:spacing w:before="60" w:after="60"/>
              <w:jc w:val="right"/>
              <w:rPr>
                <w:rFonts w:cs="Arial"/>
                <w:color w:val="000000"/>
                <w:sz w:val="20"/>
                <w:szCs w:val="20"/>
                <w:lang w:val="en-GB"/>
              </w:rPr>
            </w:pPr>
            <w:r w:rsidRPr="00E04A13">
              <w:rPr>
                <w:rFonts w:cs="Arial"/>
                <w:color w:val="000000"/>
                <w:sz w:val="20"/>
                <w:szCs w:val="20"/>
                <w:lang w:val="en-GB"/>
              </w:rPr>
              <w:t>0.4%</w:t>
            </w:r>
          </w:p>
        </w:tc>
      </w:tr>
      <w:tr w:rsidR="00805696" w:rsidRPr="00E04A13">
        <w:trPr>
          <w:trHeight w:val="20"/>
        </w:trPr>
        <w:tc>
          <w:tcPr>
            <w:tcW w:w="5353" w:type="dxa"/>
            <w:vAlign w:val="bottom"/>
          </w:tcPr>
          <w:p w:rsidR="00805696" w:rsidRPr="00E04A13" w:rsidRDefault="00805696" w:rsidP="00805696">
            <w:pPr>
              <w:spacing w:before="60" w:after="60"/>
              <w:jc w:val="left"/>
              <w:rPr>
                <w:rFonts w:cs="Arial"/>
                <w:sz w:val="20"/>
                <w:szCs w:val="20"/>
                <w:lang w:val="en-GB"/>
              </w:rPr>
            </w:pPr>
            <w:r w:rsidRPr="00E04A13">
              <w:rPr>
                <w:rFonts w:cs="Arial"/>
                <w:sz w:val="20"/>
                <w:szCs w:val="20"/>
                <w:lang w:val="en-GB"/>
              </w:rPr>
              <w:t>Photovoltaic</w:t>
            </w:r>
          </w:p>
        </w:tc>
        <w:tc>
          <w:tcPr>
            <w:tcW w:w="1913" w:type="dxa"/>
            <w:vAlign w:val="bottom"/>
          </w:tcPr>
          <w:p w:rsidR="00805696" w:rsidRPr="00E04A13" w:rsidRDefault="00805696" w:rsidP="00805696">
            <w:pPr>
              <w:spacing w:before="60" w:after="60"/>
              <w:jc w:val="right"/>
              <w:rPr>
                <w:rFonts w:cs="Arial"/>
                <w:color w:val="000000"/>
                <w:sz w:val="20"/>
                <w:szCs w:val="20"/>
                <w:lang w:val="en-GB"/>
              </w:rPr>
            </w:pPr>
            <w:r w:rsidRPr="00E04A13">
              <w:rPr>
                <w:rFonts w:cs="Arial"/>
                <w:color w:val="000000"/>
                <w:sz w:val="20"/>
                <w:szCs w:val="20"/>
                <w:lang w:val="en-GB"/>
              </w:rPr>
              <w:t>3.6%</w:t>
            </w:r>
          </w:p>
        </w:tc>
        <w:tc>
          <w:tcPr>
            <w:tcW w:w="1914" w:type="dxa"/>
            <w:vAlign w:val="bottom"/>
          </w:tcPr>
          <w:p w:rsidR="00805696" w:rsidRPr="00E04A13" w:rsidRDefault="00805696" w:rsidP="00805696">
            <w:pPr>
              <w:spacing w:before="60" w:after="60"/>
              <w:jc w:val="right"/>
              <w:rPr>
                <w:rFonts w:cs="Arial"/>
                <w:color w:val="000000"/>
                <w:sz w:val="20"/>
                <w:szCs w:val="20"/>
                <w:lang w:val="en-GB"/>
              </w:rPr>
            </w:pPr>
            <w:r w:rsidRPr="00E04A13">
              <w:rPr>
                <w:rFonts w:cs="Arial"/>
                <w:color w:val="000000"/>
                <w:sz w:val="20"/>
                <w:szCs w:val="20"/>
                <w:lang w:val="en-GB"/>
              </w:rPr>
              <w:t>4.7%</w:t>
            </w:r>
          </w:p>
        </w:tc>
      </w:tr>
      <w:tr w:rsidR="00805696" w:rsidRPr="00E04A13">
        <w:trPr>
          <w:trHeight w:val="20"/>
        </w:trPr>
        <w:tc>
          <w:tcPr>
            <w:tcW w:w="5353" w:type="dxa"/>
            <w:vAlign w:val="bottom"/>
          </w:tcPr>
          <w:p w:rsidR="00805696" w:rsidRPr="00E04A13" w:rsidRDefault="00805696" w:rsidP="00805696">
            <w:pPr>
              <w:spacing w:before="60" w:after="60"/>
              <w:jc w:val="left"/>
              <w:rPr>
                <w:rFonts w:cs="Arial"/>
                <w:sz w:val="20"/>
                <w:szCs w:val="20"/>
                <w:lang w:val="en-GB"/>
              </w:rPr>
            </w:pPr>
            <w:r w:rsidRPr="00E04A13">
              <w:rPr>
                <w:rFonts w:cs="Arial"/>
                <w:sz w:val="20"/>
                <w:szCs w:val="20"/>
                <w:lang w:val="en-GB"/>
              </w:rPr>
              <w:t>Renewable consulting</w:t>
            </w:r>
          </w:p>
        </w:tc>
        <w:tc>
          <w:tcPr>
            <w:tcW w:w="1913" w:type="dxa"/>
            <w:vAlign w:val="bottom"/>
          </w:tcPr>
          <w:p w:rsidR="00805696" w:rsidRPr="00E04A13" w:rsidRDefault="00805696" w:rsidP="00805696">
            <w:pPr>
              <w:spacing w:before="60" w:after="60"/>
              <w:jc w:val="right"/>
              <w:rPr>
                <w:rFonts w:cs="Arial"/>
                <w:color w:val="000000"/>
                <w:sz w:val="20"/>
                <w:szCs w:val="20"/>
                <w:lang w:val="en-GB"/>
              </w:rPr>
            </w:pPr>
            <w:r w:rsidRPr="00E04A13">
              <w:rPr>
                <w:rFonts w:cs="Arial"/>
                <w:color w:val="000000"/>
                <w:sz w:val="20"/>
                <w:szCs w:val="20"/>
                <w:lang w:val="en-GB"/>
              </w:rPr>
              <w:t>6.3%</w:t>
            </w:r>
          </w:p>
        </w:tc>
        <w:tc>
          <w:tcPr>
            <w:tcW w:w="1914" w:type="dxa"/>
            <w:vAlign w:val="bottom"/>
          </w:tcPr>
          <w:p w:rsidR="00805696" w:rsidRPr="00E04A13" w:rsidRDefault="00805696" w:rsidP="00805696">
            <w:pPr>
              <w:spacing w:before="60" w:after="60"/>
              <w:jc w:val="right"/>
              <w:rPr>
                <w:rFonts w:cs="Arial"/>
                <w:color w:val="000000"/>
                <w:sz w:val="20"/>
                <w:szCs w:val="20"/>
                <w:lang w:val="en-GB"/>
              </w:rPr>
            </w:pPr>
            <w:r w:rsidRPr="00E04A13">
              <w:rPr>
                <w:rFonts w:cs="Arial"/>
                <w:color w:val="000000"/>
                <w:sz w:val="20"/>
                <w:szCs w:val="20"/>
                <w:lang w:val="en-GB"/>
              </w:rPr>
              <w:t>0.6%</w:t>
            </w:r>
          </w:p>
        </w:tc>
      </w:tr>
      <w:tr w:rsidR="00805696" w:rsidRPr="00E04A13">
        <w:trPr>
          <w:trHeight w:val="20"/>
        </w:trPr>
        <w:tc>
          <w:tcPr>
            <w:tcW w:w="5353" w:type="dxa"/>
            <w:vAlign w:val="bottom"/>
          </w:tcPr>
          <w:p w:rsidR="00805696" w:rsidRPr="00E04A13" w:rsidRDefault="00805696" w:rsidP="00805696">
            <w:pPr>
              <w:spacing w:before="60" w:after="60"/>
              <w:jc w:val="left"/>
              <w:rPr>
                <w:rFonts w:cs="Arial"/>
                <w:sz w:val="20"/>
                <w:szCs w:val="20"/>
                <w:lang w:val="en-GB"/>
              </w:rPr>
            </w:pPr>
            <w:r w:rsidRPr="00E04A13">
              <w:rPr>
                <w:rFonts w:cs="Arial"/>
                <w:sz w:val="20"/>
                <w:szCs w:val="20"/>
                <w:lang w:val="en-GB"/>
              </w:rPr>
              <w:t>Wave &amp; Tidal</w:t>
            </w:r>
          </w:p>
        </w:tc>
        <w:tc>
          <w:tcPr>
            <w:tcW w:w="1913" w:type="dxa"/>
            <w:vAlign w:val="bottom"/>
          </w:tcPr>
          <w:p w:rsidR="00805696" w:rsidRPr="00E04A13" w:rsidRDefault="00805696" w:rsidP="00805696">
            <w:pPr>
              <w:spacing w:before="60" w:after="60"/>
              <w:jc w:val="right"/>
              <w:rPr>
                <w:rFonts w:cs="Arial"/>
                <w:color w:val="000000"/>
                <w:sz w:val="20"/>
                <w:szCs w:val="20"/>
                <w:lang w:val="en-GB"/>
              </w:rPr>
            </w:pPr>
            <w:r w:rsidRPr="00E04A13">
              <w:rPr>
                <w:rFonts w:cs="Arial"/>
                <w:color w:val="000000"/>
                <w:sz w:val="20"/>
                <w:szCs w:val="20"/>
                <w:lang w:val="en-GB"/>
              </w:rPr>
              <w:t>3.2%</w:t>
            </w:r>
          </w:p>
        </w:tc>
        <w:tc>
          <w:tcPr>
            <w:tcW w:w="1914" w:type="dxa"/>
            <w:vAlign w:val="bottom"/>
          </w:tcPr>
          <w:p w:rsidR="00805696" w:rsidRPr="00E04A13" w:rsidRDefault="00805696" w:rsidP="00805696">
            <w:pPr>
              <w:spacing w:before="60" w:after="60"/>
              <w:jc w:val="right"/>
              <w:rPr>
                <w:rFonts w:cs="Arial"/>
                <w:color w:val="000000"/>
                <w:sz w:val="20"/>
                <w:szCs w:val="20"/>
                <w:lang w:val="en-GB"/>
              </w:rPr>
            </w:pPr>
            <w:r w:rsidRPr="00E04A13">
              <w:rPr>
                <w:rFonts w:cs="Arial"/>
                <w:color w:val="000000"/>
                <w:sz w:val="20"/>
                <w:szCs w:val="20"/>
                <w:lang w:val="en-GB"/>
              </w:rPr>
              <w:t>0.1%</w:t>
            </w:r>
          </w:p>
        </w:tc>
      </w:tr>
      <w:tr w:rsidR="00805696" w:rsidRPr="00E04A13">
        <w:trPr>
          <w:trHeight w:val="20"/>
        </w:trPr>
        <w:tc>
          <w:tcPr>
            <w:tcW w:w="5353" w:type="dxa"/>
            <w:vAlign w:val="bottom"/>
          </w:tcPr>
          <w:p w:rsidR="00805696" w:rsidRPr="00E04A13" w:rsidRDefault="00805696" w:rsidP="00805696">
            <w:pPr>
              <w:spacing w:before="60" w:after="60"/>
              <w:jc w:val="left"/>
              <w:rPr>
                <w:rFonts w:cs="Arial"/>
                <w:sz w:val="20"/>
                <w:szCs w:val="20"/>
                <w:lang w:val="en-GB"/>
              </w:rPr>
            </w:pPr>
            <w:r w:rsidRPr="00E04A13">
              <w:rPr>
                <w:rFonts w:cs="Arial"/>
                <w:sz w:val="20"/>
                <w:szCs w:val="20"/>
                <w:lang w:val="en-GB"/>
              </w:rPr>
              <w:t>Wind</w:t>
            </w:r>
          </w:p>
        </w:tc>
        <w:tc>
          <w:tcPr>
            <w:tcW w:w="1913" w:type="dxa"/>
            <w:vAlign w:val="bottom"/>
          </w:tcPr>
          <w:p w:rsidR="00805696" w:rsidRPr="00E04A13" w:rsidRDefault="00805696" w:rsidP="00805696">
            <w:pPr>
              <w:spacing w:before="60" w:after="60"/>
              <w:jc w:val="right"/>
              <w:rPr>
                <w:rFonts w:cs="Arial"/>
                <w:color w:val="000000"/>
                <w:sz w:val="20"/>
                <w:szCs w:val="20"/>
                <w:lang w:val="en-GB"/>
              </w:rPr>
            </w:pPr>
            <w:r w:rsidRPr="00E04A13">
              <w:rPr>
                <w:rFonts w:cs="Arial"/>
                <w:color w:val="000000"/>
                <w:sz w:val="20"/>
                <w:szCs w:val="20"/>
                <w:lang w:val="en-GB"/>
              </w:rPr>
              <w:t>4.3%</w:t>
            </w:r>
          </w:p>
        </w:tc>
        <w:tc>
          <w:tcPr>
            <w:tcW w:w="1914" w:type="dxa"/>
            <w:vAlign w:val="bottom"/>
          </w:tcPr>
          <w:p w:rsidR="00805696" w:rsidRPr="00E04A13" w:rsidRDefault="00805696" w:rsidP="00805696">
            <w:pPr>
              <w:spacing w:before="60" w:after="60"/>
              <w:jc w:val="right"/>
              <w:rPr>
                <w:rFonts w:cs="Arial"/>
                <w:color w:val="000000"/>
                <w:sz w:val="20"/>
                <w:szCs w:val="20"/>
                <w:lang w:val="en-GB"/>
              </w:rPr>
            </w:pPr>
            <w:r w:rsidRPr="00E04A13">
              <w:rPr>
                <w:rFonts w:cs="Arial"/>
                <w:color w:val="000000"/>
                <w:sz w:val="20"/>
                <w:szCs w:val="20"/>
                <w:lang w:val="en-GB"/>
              </w:rPr>
              <w:t>12.0%</w:t>
            </w:r>
          </w:p>
        </w:tc>
      </w:tr>
    </w:tbl>
    <w:p w:rsidR="00A42324" w:rsidRPr="00E04A13" w:rsidRDefault="00A63D28" w:rsidP="00A63D28">
      <w:pPr>
        <w:pStyle w:val="Caption"/>
        <w:rPr>
          <w:lang w:val="en-GB"/>
        </w:rPr>
      </w:pPr>
      <w:bookmarkStart w:id="6" w:name="_Toc252202020"/>
      <w:r w:rsidRPr="00E04A13">
        <w:rPr>
          <w:lang w:val="en-GB"/>
        </w:rPr>
        <w:t xml:space="preserve">Table </w:t>
      </w:r>
      <w:r w:rsidR="00EA4FE5" w:rsidRPr="00E04A13">
        <w:rPr>
          <w:lang w:val="en-GB"/>
        </w:rPr>
        <w:fldChar w:fldCharType="begin"/>
      </w:r>
      <w:r w:rsidR="00647FEE" w:rsidRPr="00E04A13">
        <w:rPr>
          <w:lang w:val="en-GB"/>
        </w:rPr>
        <w:instrText xml:space="preserve"> SEQ Table \* ARABIC </w:instrText>
      </w:r>
      <w:r w:rsidR="00EA4FE5" w:rsidRPr="00E04A13">
        <w:rPr>
          <w:lang w:val="en-GB"/>
        </w:rPr>
        <w:fldChar w:fldCharType="separate"/>
      </w:r>
      <w:r w:rsidR="00503F5D">
        <w:rPr>
          <w:noProof/>
          <w:lang w:val="en-GB"/>
        </w:rPr>
        <w:t>1</w:t>
      </w:r>
      <w:r w:rsidR="00EA4FE5" w:rsidRPr="00E04A13">
        <w:rPr>
          <w:lang w:val="en-GB"/>
        </w:rPr>
        <w:fldChar w:fldCharType="end"/>
      </w:r>
      <w:r w:rsidRPr="00E04A13">
        <w:rPr>
          <w:lang w:val="en-GB"/>
        </w:rPr>
        <w:t xml:space="preserve">: Growth rates and </w:t>
      </w:r>
      <w:r w:rsidR="00805696" w:rsidRPr="00E04A13">
        <w:rPr>
          <w:lang w:val="en-GB"/>
        </w:rPr>
        <w:t>shares</w:t>
      </w:r>
      <w:r w:rsidRPr="00E04A13">
        <w:rPr>
          <w:lang w:val="en-GB"/>
        </w:rPr>
        <w:t xml:space="preserve"> of different </w:t>
      </w:r>
      <w:r w:rsidR="00805696" w:rsidRPr="00E04A13">
        <w:rPr>
          <w:lang w:val="en-GB"/>
        </w:rPr>
        <w:t xml:space="preserve">LCEGS </w:t>
      </w:r>
      <w:r w:rsidRPr="00E04A13">
        <w:rPr>
          <w:lang w:val="en-GB"/>
        </w:rPr>
        <w:t>sub-sectors</w:t>
      </w:r>
      <w:bookmarkEnd w:id="6"/>
      <w:r w:rsidRPr="00E04A13">
        <w:rPr>
          <w:lang w:val="en-GB"/>
        </w:rPr>
        <w:t xml:space="preserve"> </w:t>
      </w:r>
    </w:p>
    <w:p w:rsidR="0050148C" w:rsidRPr="00E04A13" w:rsidRDefault="000F699D" w:rsidP="0050148C">
      <w:pPr>
        <w:rPr>
          <w:lang w:val="en-GB"/>
        </w:rPr>
      </w:pPr>
      <w:r w:rsidRPr="00E04A13">
        <w:rPr>
          <w:lang w:val="en-GB"/>
        </w:rPr>
        <w:t xml:space="preserve">This means that overall growth in the </w:t>
      </w:r>
      <w:r w:rsidR="005256BE" w:rsidRPr="00E04A13">
        <w:rPr>
          <w:lang w:val="en-GB"/>
        </w:rPr>
        <w:t>LCEGS</w:t>
      </w:r>
      <w:r w:rsidRPr="00E04A13">
        <w:rPr>
          <w:lang w:val="en-GB"/>
        </w:rPr>
        <w:t xml:space="preserve"> market was very concentrated in specific subsectors. Globally</w:t>
      </w:r>
      <w:r w:rsidR="005363C7" w:rsidRPr="00E04A13">
        <w:rPr>
          <w:lang w:val="en-GB"/>
        </w:rPr>
        <w:t>,</w:t>
      </w:r>
      <w:r w:rsidRPr="00E04A13">
        <w:rPr>
          <w:lang w:val="en-GB"/>
        </w:rPr>
        <w:t xml:space="preserve"> </w:t>
      </w:r>
      <w:r w:rsidR="005363C7" w:rsidRPr="00E04A13">
        <w:rPr>
          <w:lang w:val="en-GB"/>
        </w:rPr>
        <w:t>w</w:t>
      </w:r>
      <w:r w:rsidRPr="00E04A13">
        <w:rPr>
          <w:lang w:val="en-GB"/>
        </w:rPr>
        <w:t xml:space="preserve">ind energy production provided more than 20% of total growth in </w:t>
      </w:r>
      <w:r w:rsidR="00EA7A58" w:rsidRPr="00E04A13">
        <w:rPr>
          <w:lang w:val="en-GB"/>
        </w:rPr>
        <w:t xml:space="preserve">this </w:t>
      </w:r>
      <w:r w:rsidRPr="00E04A13">
        <w:rPr>
          <w:lang w:val="en-GB"/>
        </w:rPr>
        <w:t xml:space="preserve">period. All </w:t>
      </w:r>
      <w:r w:rsidR="003C2C49" w:rsidRPr="00E04A13">
        <w:rPr>
          <w:lang w:val="en-GB"/>
        </w:rPr>
        <w:t xml:space="preserve">new </w:t>
      </w:r>
      <w:r w:rsidRPr="00E04A13">
        <w:rPr>
          <w:lang w:val="en-GB"/>
        </w:rPr>
        <w:t>renewable energy production sectors</w:t>
      </w:r>
      <w:r w:rsidR="005363C7" w:rsidRPr="00E04A13">
        <w:rPr>
          <w:lang w:val="en-GB"/>
        </w:rPr>
        <w:t xml:space="preserve"> combined</w:t>
      </w:r>
      <w:r w:rsidRPr="00E04A13">
        <w:rPr>
          <w:lang w:val="en-GB"/>
        </w:rPr>
        <w:t xml:space="preserve"> (Wind, Geothermal, Photovoltaic and Biomass) </w:t>
      </w:r>
      <w:r w:rsidR="005363C7" w:rsidRPr="00E04A13">
        <w:rPr>
          <w:lang w:val="en-GB"/>
        </w:rPr>
        <w:t xml:space="preserve">were </w:t>
      </w:r>
      <w:r w:rsidRPr="00E04A13">
        <w:rPr>
          <w:lang w:val="en-GB"/>
        </w:rPr>
        <w:t xml:space="preserve">responsible for </w:t>
      </w:r>
      <w:r w:rsidR="000B10D3" w:rsidRPr="00E04A13">
        <w:rPr>
          <w:lang w:val="en-GB"/>
        </w:rPr>
        <w:t>about 4</w:t>
      </w:r>
      <w:r w:rsidRPr="00E04A13">
        <w:rPr>
          <w:lang w:val="en-GB"/>
        </w:rPr>
        <w:t xml:space="preserve">0% of the growth of the total LCEGS sector. </w:t>
      </w:r>
      <w:r w:rsidR="000B10D3" w:rsidRPr="00E04A13">
        <w:rPr>
          <w:lang w:val="en-GB"/>
        </w:rPr>
        <w:t xml:space="preserve">Other important growth drivers were additional energy sources and waste and water management. </w:t>
      </w:r>
    </w:p>
    <w:p w:rsidR="00854225" w:rsidRPr="00E04A13" w:rsidRDefault="00173BEA" w:rsidP="00854225">
      <w:pPr>
        <w:pStyle w:val="Heading2"/>
        <w:spacing w:before="480"/>
        <w:rPr>
          <w:lang w:val="en-GB"/>
        </w:rPr>
      </w:pPr>
      <w:bookmarkStart w:id="7" w:name="_Toc251626632"/>
      <w:r w:rsidRPr="00E04A13">
        <w:rPr>
          <w:lang w:val="en-GB"/>
        </w:rPr>
        <w:t xml:space="preserve">Competitiveness and </w:t>
      </w:r>
      <w:r w:rsidR="00854225" w:rsidRPr="00E04A13">
        <w:rPr>
          <w:lang w:val="en-GB"/>
        </w:rPr>
        <w:t>Resilience</w:t>
      </w:r>
      <w:r w:rsidRPr="00E04A13">
        <w:rPr>
          <w:lang w:val="en-GB"/>
        </w:rPr>
        <w:t xml:space="preserve"> </w:t>
      </w:r>
      <w:r w:rsidR="00854225" w:rsidRPr="00E04A13">
        <w:rPr>
          <w:lang w:val="en-GB"/>
        </w:rPr>
        <w:t xml:space="preserve">of </w:t>
      </w:r>
      <w:r w:rsidRPr="00E04A13">
        <w:rPr>
          <w:lang w:val="en-GB"/>
        </w:rPr>
        <w:t>Eco-Industries</w:t>
      </w:r>
      <w:bookmarkEnd w:id="7"/>
    </w:p>
    <w:p w:rsidR="00474CB5" w:rsidRDefault="00474CB5" w:rsidP="00474CB5">
      <w:pPr>
        <w:rPr>
          <w:lang w:val="en-GB"/>
        </w:rPr>
      </w:pPr>
      <w:r w:rsidRPr="00A311A2">
        <w:rPr>
          <w:lang w:val="en-GB"/>
        </w:rPr>
        <w:t>As mentioned above, the growth rates of the LCEGS sector were more stable than overall economic growth in the study period (see Table 2).</w:t>
      </w:r>
      <w:r w:rsidR="00597EC4">
        <w:rPr>
          <w:rStyle w:val="FootnoteReference"/>
          <w:lang w:val="en-GB"/>
        </w:rPr>
        <w:footnoteReference w:id="7"/>
      </w:r>
      <w:r w:rsidRPr="00A311A2">
        <w:rPr>
          <w:lang w:val="en-GB"/>
        </w:rPr>
        <w:t xml:space="preserve"> While nearly all countries suffered a drop in overall economic activity in 2008-2009, the LCEGS sector grew in that period in all but two countries of our sample (US and Portugal, which saw a small contraction of LCEGS in 2009). Remarkably, for every year in </w:t>
      </w:r>
      <w:r w:rsidR="00024B34">
        <w:rPr>
          <w:lang w:val="en-GB"/>
        </w:rPr>
        <w:t xml:space="preserve">Italy and Portugal, </w:t>
      </w:r>
      <w:r w:rsidRPr="00A311A2">
        <w:rPr>
          <w:lang w:val="en-GB"/>
        </w:rPr>
        <w:t>annual growth in LCEGS has been higher than the respective GDP growth</w:t>
      </w:r>
      <w:r w:rsidR="00597EC4">
        <w:rPr>
          <w:lang w:val="en-GB"/>
        </w:rPr>
        <w:t>. Across the entire study period, LCEGS growth was higher than GDP growth in all European countries except Poland</w:t>
      </w:r>
      <w:r w:rsidRPr="00A311A2">
        <w:rPr>
          <w:lang w:val="en-GB"/>
        </w:rPr>
        <w:t xml:space="preserve">, i.e. the LCEGS sector has outperformed the wider economy. </w:t>
      </w:r>
      <w:r w:rsidR="00597EC4">
        <w:rPr>
          <w:lang w:val="en-GB"/>
        </w:rPr>
        <w:t xml:space="preserve">In the cases of Italy and Portugal, nominal GDP has </w:t>
      </w:r>
      <w:r w:rsidR="000639A7">
        <w:rPr>
          <w:lang w:val="en-GB"/>
        </w:rPr>
        <w:t>stagnated</w:t>
      </w:r>
      <w:r w:rsidR="00597EC4">
        <w:rPr>
          <w:lang w:val="en-GB"/>
        </w:rPr>
        <w:t xml:space="preserve"> between 2008 and 2011, yet the LCEGS sector has grown by 9.4 and 5%, respectively.</w:t>
      </w:r>
      <w:r w:rsidR="000639A7">
        <w:rPr>
          <w:lang w:val="en-GB"/>
        </w:rPr>
        <w:t xml:space="preserve"> Poland stands out in that it has achieved the highest relative growth of the LCEGS sector – at 23.6% between 2008 and 2011 – and yet, because nominal GDP has grown even more in this period, it is the one European country where LCEGS has grown in line with GDP, rather than acting as a driver of growth in turbulent times.</w:t>
      </w:r>
    </w:p>
    <w:p w:rsidR="00474CB5" w:rsidRPr="00A311A2" w:rsidRDefault="00474CB5" w:rsidP="00474CB5">
      <w:pPr>
        <w:rPr>
          <w:lang w:val="en-GB"/>
        </w:rPr>
      </w:pPr>
      <w:r>
        <w:rPr>
          <w:lang w:val="en-GB"/>
        </w:rPr>
        <w:t xml:space="preserve">For the non-European countries in our sample the development was </w:t>
      </w:r>
      <w:r w:rsidR="00597EC4">
        <w:rPr>
          <w:lang w:val="en-GB"/>
        </w:rPr>
        <w:t xml:space="preserve">quite </w:t>
      </w:r>
      <w:r>
        <w:rPr>
          <w:lang w:val="en-GB"/>
        </w:rPr>
        <w:t xml:space="preserve">different. China saw a </w:t>
      </w:r>
      <w:r w:rsidR="00597EC4">
        <w:rPr>
          <w:lang w:val="en-GB"/>
        </w:rPr>
        <w:t xml:space="preserve">much slower </w:t>
      </w:r>
      <w:r>
        <w:rPr>
          <w:lang w:val="en-GB"/>
        </w:rPr>
        <w:t>growth in the LCEGS sector than in the overall economy</w:t>
      </w:r>
      <w:r w:rsidR="00597EC4">
        <w:rPr>
          <w:lang w:val="en-GB"/>
        </w:rPr>
        <w:t xml:space="preserve"> – in fact since the LCEGS growth rates are nominal growth rates, </w:t>
      </w:r>
      <w:r w:rsidR="00AF37AC">
        <w:rPr>
          <w:lang w:val="en-GB"/>
        </w:rPr>
        <w:t>the Chinese LCEGS sector may not have grown at all in real terms</w:t>
      </w:r>
      <w:r>
        <w:rPr>
          <w:lang w:val="en-GB"/>
        </w:rPr>
        <w:t xml:space="preserve">. </w:t>
      </w:r>
      <w:r w:rsidR="00AF37AC">
        <w:rPr>
          <w:lang w:val="en-GB"/>
        </w:rPr>
        <w:t xml:space="preserve">In the US, </w:t>
      </w:r>
      <w:r>
        <w:rPr>
          <w:lang w:val="en-GB"/>
        </w:rPr>
        <w:t>the LCEGS sector only outperformed the economy in the crisis year 2009</w:t>
      </w:r>
      <w:r w:rsidR="00AF37AC">
        <w:rPr>
          <w:lang w:val="en-GB"/>
        </w:rPr>
        <w:t>,</w:t>
      </w:r>
      <w:r>
        <w:rPr>
          <w:lang w:val="en-GB"/>
        </w:rPr>
        <w:t xml:space="preserve"> but not </w:t>
      </w:r>
      <w:r w:rsidR="00AF37AC">
        <w:rPr>
          <w:lang w:val="en-GB"/>
        </w:rPr>
        <w:t>for the study period as a whole</w:t>
      </w:r>
      <w:r>
        <w:rPr>
          <w:lang w:val="en-GB"/>
        </w:rPr>
        <w:t xml:space="preserve">. </w:t>
      </w:r>
      <w:r w:rsidR="00AF37AC">
        <w:rPr>
          <w:lang w:val="en-GB"/>
        </w:rPr>
        <w:t xml:space="preserve">In the case of Mexico, LCEGS growth was generally in line with GDP growth: somewhat stronger in the crisis year 2009, and weaker in the other years, </w:t>
      </w:r>
      <w:r w:rsidRPr="00A311A2">
        <w:rPr>
          <w:lang w:val="en-GB"/>
        </w:rPr>
        <w:t xml:space="preserve">For the global LCEGS sector, growth was somewhat slower in 2009 than in other years, but remained positive. </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807"/>
        <w:gridCol w:w="808"/>
        <w:gridCol w:w="808"/>
        <w:gridCol w:w="808"/>
        <w:gridCol w:w="808"/>
        <w:gridCol w:w="808"/>
        <w:gridCol w:w="808"/>
        <w:gridCol w:w="808"/>
        <w:gridCol w:w="808"/>
        <w:gridCol w:w="808"/>
      </w:tblGrid>
      <w:tr w:rsidR="00AF37AC" w:rsidRPr="00E04A13">
        <w:trPr>
          <w:trHeight w:val="255"/>
        </w:trPr>
        <w:tc>
          <w:tcPr>
            <w:tcW w:w="993" w:type="dxa"/>
            <w:shd w:val="clear" w:color="auto" w:fill="auto"/>
            <w:noWrap/>
            <w:vAlign w:val="bottom"/>
          </w:tcPr>
          <w:p w:rsidR="00024B34" w:rsidRPr="00E04A13" w:rsidRDefault="00024B34" w:rsidP="00A024BB">
            <w:pPr>
              <w:spacing w:before="40" w:after="40" w:line="240" w:lineRule="auto"/>
              <w:jc w:val="center"/>
              <w:rPr>
                <w:rFonts w:eastAsia="Times New Roman" w:cs="Arial"/>
                <w:b/>
                <w:bCs/>
                <w:sz w:val="20"/>
                <w:szCs w:val="20"/>
                <w:lang w:val="en-GB"/>
              </w:rPr>
            </w:pPr>
          </w:p>
        </w:tc>
        <w:tc>
          <w:tcPr>
            <w:tcW w:w="1615" w:type="dxa"/>
            <w:gridSpan w:val="2"/>
            <w:shd w:val="clear" w:color="auto" w:fill="auto"/>
            <w:noWrap/>
            <w:vAlign w:val="bottom"/>
          </w:tcPr>
          <w:p w:rsidR="00024B34" w:rsidRPr="00E04A13" w:rsidRDefault="00024B34" w:rsidP="00A024BB">
            <w:pPr>
              <w:spacing w:before="40" w:after="40" w:line="240" w:lineRule="auto"/>
              <w:jc w:val="center"/>
              <w:rPr>
                <w:rFonts w:eastAsia="Times New Roman" w:cs="Arial"/>
                <w:b/>
                <w:sz w:val="20"/>
                <w:szCs w:val="20"/>
                <w:lang w:val="en-GB"/>
              </w:rPr>
            </w:pPr>
            <w:r w:rsidRPr="00E04A13">
              <w:rPr>
                <w:rFonts w:eastAsia="Times New Roman" w:cs="Arial"/>
                <w:b/>
                <w:bCs/>
                <w:sz w:val="20"/>
                <w:szCs w:val="20"/>
                <w:lang w:val="en-GB"/>
              </w:rPr>
              <w:t>2008</w:t>
            </w:r>
          </w:p>
        </w:tc>
        <w:tc>
          <w:tcPr>
            <w:tcW w:w="1616" w:type="dxa"/>
            <w:gridSpan w:val="2"/>
            <w:vAlign w:val="bottom"/>
          </w:tcPr>
          <w:p w:rsidR="00024B34" w:rsidRPr="00E04A13" w:rsidRDefault="00024B34" w:rsidP="00A024BB">
            <w:pPr>
              <w:spacing w:before="40" w:after="40" w:line="240" w:lineRule="auto"/>
              <w:jc w:val="center"/>
              <w:rPr>
                <w:rFonts w:eastAsia="Times New Roman" w:cs="Arial"/>
                <w:b/>
                <w:sz w:val="20"/>
                <w:szCs w:val="20"/>
                <w:lang w:val="en-GB"/>
              </w:rPr>
            </w:pPr>
            <w:r w:rsidRPr="00E04A13">
              <w:rPr>
                <w:rFonts w:eastAsia="Times New Roman" w:cs="Arial"/>
                <w:b/>
                <w:sz w:val="20"/>
                <w:szCs w:val="20"/>
                <w:lang w:val="en-GB"/>
              </w:rPr>
              <w:t>2009</w:t>
            </w:r>
          </w:p>
        </w:tc>
        <w:tc>
          <w:tcPr>
            <w:tcW w:w="1616" w:type="dxa"/>
            <w:gridSpan w:val="2"/>
            <w:vAlign w:val="bottom"/>
          </w:tcPr>
          <w:p w:rsidR="00024B34" w:rsidRPr="00E04A13" w:rsidRDefault="00024B34" w:rsidP="00A024BB">
            <w:pPr>
              <w:spacing w:before="40" w:after="40" w:line="240" w:lineRule="auto"/>
              <w:jc w:val="center"/>
              <w:rPr>
                <w:rFonts w:eastAsia="Times New Roman" w:cs="Arial"/>
                <w:b/>
                <w:sz w:val="20"/>
                <w:szCs w:val="20"/>
                <w:lang w:val="en-GB"/>
              </w:rPr>
            </w:pPr>
            <w:r w:rsidRPr="00E04A13">
              <w:rPr>
                <w:rFonts w:eastAsia="Times New Roman" w:cs="Arial"/>
                <w:b/>
                <w:sz w:val="20"/>
                <w:szCs w:val="20"/>
                <w:lang w:val="en-GB"/>
              </w:rPr>
              <w:t>2010</w:t>
            </w:r>
          </w:p>
        </w:tc>
        <w:tc>
          <w:tcPr>
            <w:tcW w:w="1616" w:type="dxa"/>
            <w:gridSpan w:val="2"/>
            <w:vAlign w:val="bottom"/>
          </w:tcPr>
          <w:p w:rsidR="00024B34" w:rsidRPr="00E04A13" w:rsidRDefault="00024B34" w:rsidP="00A024BB">
            <w:pPr>
              <w:spacing w:before="40" w:after="40" w:line="240" w:lineRule="auto"/>
              <w:jc w:val="center"/>
              <w:rPr>
                <w:rFonts w:eastAsia="Times New Roman" w:cs="Arial"/>
                <w:b/>
                <w:sz w:val="20"/>
                <w:szCs w:val="20"/>
                <w:lang w:val="en-GB"/>
              </w:rPr>
            </w:pPr>
            <w:r w:rsidRPr="00E04A13">
              <w:rPr>
                <w:rFonts w:eastAsia="Times New Roman" w:cs="Arial"/>
                <w:b/>
                <w:sz w:val="20"/>
                <w:szCs w:val="20"/>
                <w:lang w:val="en-GB"/>
              </w:rPr>
              <w:t>2011</w:t>
            </w:r>
          </w:p>
        </w:tc>
        <w:tc>
          <w:tcPr>
            <w:tcW w:w="1616" w:type="dxa"/>
            <w:gridSpan w:val="2"/>
          </w:tcPr>
          <w:p w:rsidR="00024B34" w:rsidRPr="00E04A13" w:rsidRDefault="00024B34" w:rsidP="00A024BB">
            <w:pPr>
              <w:spacing w:before="40" w:after="40" w:line="240" w:lineRule="auto"/>
              <w:jc w:val="center"/>
              <w:rPr>
                <w:rFonts w:eastAsia="Times New Roman" w:cs="Arial"/>
                <w:b/>
                <w:sz w:val="20"/>
                <w:szCs w:val="20"/>
                <w:lang w:val="en-GB"/>
              </w:rPr>
            </w:pPr>
            <w:r>
              <w:rPr>
                <w:rFonts w:eastAsia="Times New Roman" w:cs="Arial"/>
                <w:b/>
                <w:sz w:val="20"/>
                <w:szCs w:val="20"/>
                <w:lang w:val="en-GB"/>
              </w:rPr>
              <w:t>2008 - 2011</w:t>
            </w:r>
          </w:p>
        </w:tc>
      </w:tr>
      <w:tr w:rsidR="00AF37AC" w:rsidRPr="00E04A13">
        <w:trPr>
          <w:trHeight w:val="255"/>
        </w:trPr>
        <w:tc>
          <w:tcPr>
            <w:tcW w:w="993" w:type="dxa"/>
            <w:shd w:val="clear" w:color="auto" w:fill="auto"/>
            <w:noWrap/>
            <w:tcMar>
              <w:left w:w="57" w:type="dxa"/>
              <w:right w:w="57" w:type="dxa"/>
            </w:tcMar>
            <w:vAlign w:val="bottom"/>
          </w:tcPr>
          <w:p w:rsidR="00024B34" w:rsidRPr="00E04A13" w:rsidRDefault="00024B34" w:rsidP="00A024BB">
            <w:pPr>
              <w:spacing w:before="40" w:after="40" w:line="240" w:lineRule="auto"/>
              <w:jc w:val="center"/>
              <w:rPr>
                <w:rFonts w:eastAsia="Times New Roman" w:cs="Arial"/>
                <w:b/>
                <w:bCs/>
                <w:sz w:val="20"/>
                <w:szCs w:val="20"/>
                <w:lang w:val="en-GB"/>
              </w:rPr>
            </w:pPr>
          </w:p>
        </w:tc>
        <w:tc>
          <w:tcPr>
            <w:tcW w:w="807" w:type="dxa"/>
            <w:shd w:val="clear" w:color="auto" w:fill="auto"/>
            <w:noWrap/>
            <w:tcMar>
              <w:left w:w="57" w:type="dxa"/>
              <w:right w:w="57" w:type="dxa"/>
            </w:tcMar>
            <w:vAlign w:val="bottom"/>
          </w:tcPr>
          <w:p w:rsidR="00024B34" w:rsidRPr="00E04A13" w:rsidRDefault="00024B34" w:rsidP="00A024BB">
            <w:pPr>
              <w:spacing w:before="40" w:after="40" w:line="240" w:lineRule="auto"/>
              <w:jc w:val="center"/>
              <w:rPr>
                <w:rFonts w:eastAsia="Times New Roman" w:cs="Arial"/>
                <w:b/>
                <w:bCs/>
                <w:sz w:val="20"/>
                <w:szCs w:val="20"/>
                <w:lang w:val="en-GB"/>
              </w:rPr>
            </w:pPr>
            <w:r w:rsidRPr="00E04A13">
              <w:rPr>
                <w:rFonts w:eastAsia="Times New Roman" w:cs="Arial"/>
                <w:b/>
                <w:bCs/>
                <w:sz w:val="20"/>
                <w:szCs w:val="20"/>
                <w:lang w:val="en-GB"/>
              </w:rPr>
              <w:t>LCEGS</w:t>
            </w:r>
          </w:p>
        </w:tc>
        <w:tc>
          <w:tcPr>
            <w:tcW w:w="808" w:type="dxa"/>
            <w:tcMar>
              <w:left w:w="57" w:type="dxa"/>
              <w:right w:w="57" w:type="dxa"/>
            </w:tcMar>
          </w:tcPr>
          <w:p w:rsidR="00024B34" w:rsidRPr="00E04A13" w:rsidRDefault="00024B34" w:rsidP="00A024BB">
            <w:pPr>
              <w:spacing w:before="40" w:after="40" w:line="240" w:lineRule="auto"/>
              <w:jc w:val="center"/>
              <w:rPr>
                <w:rFonts w:eastAsia="Times New Roman" w:cs="Arial"/>
                <w:b/>
                <w:sz w:val="20"/>
                <w:szCs w:val="20"/>
                <w:lang w:val="en-GB"/>
              </w:rPr>
            </w:pPr>
            <w:r w:rsidRPr="00E04A13">
              <w:rPr>
                <w:rFonts w:eastAsia="Times New Roman" w:cs="Arial"/>
                <w:b/>
                <w:sz w:val="20"/>
                <w:szCs w:val="20"/>
                <w:lang w:val="en-GB"/>
              </w:rPr>
              <w:t>GDP</w:t>
            </w:r>
          </w:p>
        </w:tc>
        <w:tc>
          <w:tcPr>
            <w:tcW w:w="808" w:type="dxa"/>
            <w:tcMar>
              <w:left w:w="57" w:type="dxa"/>
              <w:right w:w="57" w:type="dxa"/>
            </w:tcMar>
            <w:vAlign w:val="bottom"/>
          </w:tcPr>
          <w:p w:rsidR="00024B34" w:rsidRPr="00E04A13" w:rsidRDefault="00024B34" w:rsidP="00A024BB">
            <w:pPr>
              <w:spacing w:before="40" w:after="40" w:line="240" w:lineRule="auto"/>
              <w:jc w:val="center"/>
              <w:rPr>
                <w:rFonts w:eastAsia="Times New Roman" w:cs="Arial"/>
                <w:b/>
                <w:bCs/>
                <w:sz w:val="20"/>
                <w:szCs w:val="20"/>
                <w:lang w:val="en-GB"/>
              </w:rPr>
            </w:pPr>
            <w:r w:rsidRPr="00E04A13">
              <w:rPr>
                <w:rFonts w:eastAsia="Times New Roman" w:cs="Arial"/>
                <w:b/>
                <w:bCs/>
                <w:sz w:val="20"/>
                <w:szCs w:val="20"/>
                <w:lang w:val="en-GB"/>
              </w:rPr>
              <w:t>LCEGS</w:t>
            </w:r>
          </w:p>
        </w:tc>
        <w:tc>
          <w:tcPr>
            <w:tcW w:w="808" w:type="dxa"/>
            <w:shd w:val="clear" w:color="auto" w:fill="auto"/>
            <w:tcMar>
              <w:left w:w="57" w:type="dxa"/>
              <w:right w:w="57" w:type="dxa"/>
            </w:tcMar>
          </w:tcPr>
          <w:p w:rsidR="00024B34" w:rsidRPr="00E04A13" w:rsidRDefault="00024B34" w:rsidP="00A024BB">
            <w:pPr>
              <w:spacing w:before="40" w:after="40" w:line="240" w:lineRule="auto"/>
              <w:jc w:val="center"/>
              <w:rPr>
                <w:rFonts w:eastAsia="Times New Roman" w:cs="Arial"/>
                <w:b/>
                <w:sz w:val="20"/>
                <w:szCs w:val="20"/>
                <w:lang w:val="en-GB"/>
              </w:rPr>
            </w:pPr>
            <w:r w:rsidRPr="00E04A13">
              <w:rPr>
                <w:rFonts w:eastAsia="Times New Roman" w:cs="Arial"/>
                <w:b/>
                <w:sz w:val="20"/>
                <w:szCs w:val="20"/>
                <w:lang w:val="en-GB"/>
              </w:rPr>
              <w:t>GDP</w:t>
            </w:r>
          </w:p>
        </w:tc>
        <w:tc>
          <w:tcPr>
            <w:tcW w:w="808" w:type="dxa"/>
            <w:tcMar>
              <w:left w:w="57" w:type="dxa"/>
              <w:right w:w="57" w:type="dxa"/>
            </w:tcMar>
            <w:vAlign w:val="bottom"/>
          </w:tcPr>
          <w:p w:rsidR="00024B34" w:rsidRPr="00E04A13" w:rsidRDefault="00024B34" w:rsidP="00A024BB">
            <w:pPr>
              <w:spacing w:before="40" w:after="40" w:line="240" w:lineRule="auto"/>
              <w:jc w:val="center"/>
              <w:rPr>
                <w:rFonts w:eastAsia="Times New Roman" w:cs="Arial"/>
                <w:b/>
                <w:bCs/>
                <w:sz w:val="20"/>
                <w:szCs w:val="20"/>
                <w:lang w:val="en-GB"/>
              </w:rPr>
            </w:pPr>
            <w:r w:rsidRPr="00E04A13">
              <w:rPr>
                <w:rFonts w:eastAsia="Times New Roman" w:cs="Arial"/>
                <w:b/>
                <w:bCs/>
                <w:sz w:val="20"/>
                <w:szCs w:val="20"/>
                <w:lang w:val="en-GB"/>
              </w:rPr>
              <w:t>LCEGS</w:t>
            </w:r>
          </w:p>
        </w:tc>
        <w:tc>
          <w:tcPr>
            <w:tcW w:w="808" w:type="dxa"/>
            <w:tcMar>
              <w:left w:w="57" w:type="dxa"/>
              <w:right w:w="57" w:type="dxa"/>
            </w:tcMar>
          </w:tcPr>
          <w:p w:rsidR="00024B34" w:rsidRPr="00E04A13" w:rsidRDefault="00024B34" w:rsidP="00A024BB">
            <w:pPr>
              <w:spacing w:before="40" w:after="40" w:line="240" w:lineRule="auto"/>
              <w:jc w:val="center"/>
              <w:rPr>
                <w:rFonts w:eastAsia="Times New Roman" w:cs="Arial"/>
                <w:b/>
                <w:bCs/>
                <w:sz w:val="20"/>
                <w:szCs w:val="20"/>
                <w:lang w:val="en-GB"/>
              </w:rPr>
            </w:pPr>
            <w:r w:rsidRPr="00E04A13">
              <w:rPr>
                <w:rFonts w:eastAsia="Times New Roman" w:cs="Arial"/>
                <w:b/>
                <w:sz w:val="20"/>
                <w:szCs w:val="20"/>
                <w:lang w:val="en-GB"/>
              </w:rPr>
              <w:t>GDP</w:t>
            </w:r>
          </w:p>
        </w:tc>
        <w:tc>
          <w:tcPr>
            <w:tcW w:w="808" w:type="dxa"/>
            <w:tcMar>
              <w:left w:w="57" w:type="dxa"/>
              <w:right w:w="57" w:type="dxa"/>
            </w:tcMar>
            <w:vAlign w:val="bottom"/>
          </w:tcPr>
          <w:p w:rsidR="00024B34" w:rsidRPr="00E04A13" w:rsidRDefault="00024B34" w:rsidP="00A024BB">
            <w:pPr>
              <w:spacing w:before="40" w:after="40" w:line="240" w:lineRule="auto"/>
              <w:jc w:val="center"/>
              <w:rPr>
                <w:rFonts w:eastAsia="Times New Roman" w:cs="Arial"/>
                <w:b/>
                <w:bCs/>
                <w:sz w:val="20"/>
                <w:szCs w:val="20"/>
                <w:lang w:val="en-GB"/>
              </w:rPr>
            </w:pPr>
            <w:r w:rsidRPr="00E04A13">
              <w:rPr>
                <w:rFonts w:eastAsia="Times New Roman" w:cs="Arial"/>
                <w:b/>
                <w:bCs/>
                <w:sz w:val="20"/>
                <w:szCs w:val="20"/>
                <w:lang w:val="en-GB"/>
              </w:rPr>
              <w:t>LCEGS</w:t>
            </w:r>
          </w:p>
        </w:tc>
        <w:tc>
          <w:tcPr>
            <w:tcW w:w="808" w:type="dxa"/>
            <w:shd w:val="clear" w:color="auto" w:fill="auto"/>
            <w:tcMar>
              <w:left w:w="57" w:type="dxa"/>
              <w:right w:w="57" w:type="dxa"/>
            </w:tcMar>
          </w:tcPr>
          <w:p w:rsidR="00024B34" w:rsidRPr="00E04A13" w:rsidRDefault="00024B34" w:rsidP="00A024BB">
            <w:pPr>
              <w:spacing w:before="40" w:after="40" w:line="240" w:lineRule="auto"/>
              <w:jc w:val="center"/>
              <w:rPr>
                <w:rFonts w:eastAsia="Times New Roman" w:cs="Arial"/>
                <w:b/>
                <w:sz w:val="20"/>
                <w:szCs w:val="20"/>
                <w:lang w:val="en-GB"/>
              </w:rPr>
            </w:pPr>
            <w:r w:rsidRPr="00E04A13">
              <w:rPr>
                <w:rFonts w:eastAsia="Times New Roman" w:cs="Arial"/>
                <w:b/>
                <w:sz w:val="20"/>
                <w:szCs w:val="20"/>
                <w:lang w:val="en-GB"/>
              </w:rPr>
              <w:t>GDP</w:t>
            </w:r>
          </w:p>
        </w:tc>
        <w:tc>
          <w:tcPr>
            <w:tcW w:w="808" w:type="dxa"/>
            <w:tcMar>
              <w:left w:w="57" w:type="dxa"/>
              <w:right w:w="57" w:type="dxa"/>
            </w:tcMar>
            <w:vAlign w:val="bottom"/>
          </w:tcPr>
          <w:p w:rsidR="00024B34" w:rsidRPr="00E04A13" w:rsidRDefault="00024B34" w:rsidP="00A024BB">
            <w:pPr>
              <w:spacing w:before="40" w:after="40" w:line="240" w:lineRule="auto"/>
              <w:jc w:val="center"/>
              <w:rPr>
                <w:rFonts w:eastAsia="Times New Roman" w:cs="Arial"/>
                <w:b/>
                <w:bCs/>
                <w:sz w:val="20"/>
                <w:szCs w:val="20"/>
                <w:lang w:val="en-GB"/>
              </w:rPr>
            </w:pPr>
            <w:r>
              <w:rPr>
                <w:rFonts w:eastAsia="Times New Roman" w:cs="Arial"/>
                <w:b/>
                <w:bCs/>
                <w:sz w:val="20"/>
                <w:szCs w:val="20"/>
                <w:lang w:val="en-GB"/>
              </w:rPr>
              <w:t>LCEGS</w:t>
            </w:r>
          </w:p>
        </w:tc>
        <w:tc>
          <w:tcPr>
            <w:tcW w:w="808" w:type="dxa"/>
            <w:shd w:val="clear" w:color="auto" w:fill="auto"/>
            <w:tcMar>
              <w:left w:w="57" w:type="dxa"/>
              <w:right w:w="57" w:type="dxa"/>
            </w:tcMar>
          </w:tcPr>
          <w:p w:rsidR="00024B34" w:rsidRPr="00E04A13" w:rsidRDefault="00024B34" w:rsidP="00A024BB">
            <w:pPr>
              <w:spacing w:before="40" w:after="40" w:line="240" w:lineRule="auto"/>
              <w:jc w:val="center"/>
              <w:rPr>
                <w:rFonts w:eastAsia="Times New Roman" w:cs="Arial"/>
                <w:b/>
                <w:sz w:val="20"/>
                <w:szCs w:val="20"/>
                <w:lang w:val="en-GB"/>
              </w:rPr>
            </w:pPr>
            <w:r>
              <w:rPr>
                <w:rFonts w:eastAsia="Times New Roman" w:cs="Arial"/>
                <w:b/>
                <w:sz w:val="20"/>
                <w:szCs w:val="20"/>
                <w:lang w:val="en-GB"/>
              </w:rPr>
              <w:t>GDP</w:t>
            </w:r>
          </w:p>
        </w:tc>
      </w:tr>
      <w:tr w:rsidR="00AF37AC" w:rsidRPr="00E04A13">
        <w:trPr>
          <w:trHeight w:val="255"/>
        </w:trPr>
        <w:tc>
          <w:tcPr>
            <w:tcW w:w="993" w:type="dxa"/>
            <w:shd w:val="clear" w:color="auto" w:fill="auto"/>
            <w:noWrap/>
            <w:vAlign w:val="bottom"/>
          </w:tcPr>
          <w:p w:rsidR="00024B34" w:rsidRPr="00E04A13" w:rsidRDefault="00024B34" w:rsidP="00A024BB">
            <w:pPr>
              <w:spacing w:before="40" w:after="40" w:line="240" w:lineRule="auto"/>
              <w:jc w:val="left"/>
              <w:rPr>
                <w:rFonts w:eastAsia="Times New Roman" w:cs="Arial"/>
                <w:sz w:val="20"/>
                <w:szCs w:val="20"/>
                <w:lang w:val="en-GB"/>
              </w:rPr>
            </w:pPr>
            <w:r w:rsidRPr="00E04A13">
              <w:rPr>
                <w:rFonts w:eastAsia="Times New Roman" w:cs="Arial"/>
                <w:sz w:val="20"/>
                <w:szCs w:val="20"/>
                <w:lang w:val="en-GB"/>
              </w:rPr>
              <w:t>China</w:t>
            </w:r>
          </w:p>
        </w:tc>
        <w:tc>
          <w:tcPr>
            <w:tcW w:w="807" w:type="dxa"/>
            <w:shd w:val="clear" w:color="auto" w:fill="auto"/>
            <w:noWrap/>
            <w:vAlign w:val="bottom"/>
          </w:tcPr>
          <w:p w:rsidR="00024B34" w:rsidRPr="00E04A13" w:rsidRDefault="00024B34" w:rsidP="00A024BB">
            <w:pPr>
              <w:spacing w:before="40" w:after="40" w:line="240" w:lineRule="auto"/>
              <w:jc w:val="right"/>
              <w:rPr>
                <w:rFonts w:eastAsia="Times New Roman" w:cs="Arial"/>
                <w:sz w:val="20"/>
                <w:szCs w:val="20"/>
                <w:lang w:val="en-GB"/>
              </w:rPr>
            </w:pPr>
            <w:r w:rsidRPr="00E04A13">
              <w:rPr>
                <w:rFonts w:eastAsia="Times New Roman" w:cs="Arial"/>
                <w:sz w:val="20"/>
                <w:szCs w:val="20"/>
                <w:lang w:val="en-GB"/>
              </w:rPr>
              <w:t>1.8%</w:t>
            </w:r>
          </w:p>
        </w:tc>
        <w:tc>
          <w:tcPr>
            <w:tcW w:w="808" w:type="dxa"/>
          </w:tcPr>
          <w:p w:rsidR="00024B34" w:rsidRPr="00E04A13" w:rsidRDefault="00024B34" w:rsidP="00A024BB">
            <w:pPr>
              <w:spacing w:before="40" w:after="40" w:line="240" w:lineRule="auto"/>
              <w:jc w:val="right"/>
              <w:rPr>
                <w:rFonts w:eastAsia="Times New Roman" w:cs="Arial"/>
                <w:sz w:val="20"/>
                <w:szCs w:val="20"/>
                <w:lang w:val="en-GB"/>
              </w:rPr>
            </w:pPr>
            <w:r w:rsidRPr="00A311A2">
              <w:rPr>
                <w:rFonts w:eastAsia="Times New Roman" w:cs="Arial"/>
                <w:sz w:val="20"/>
                <w:szCs w:val="20"/>
                <w:lang w:val="en-GB"/>
              </w:rPr>
              <w:t>18.1%</w:t>
            </w:r>
          </w:p>
        </w:tc>
        <w:tc>
          <w:tcPr>
            <w:tcW w:w="808" w:type="dxa"/>
            <w:vAlign w:val="bottom"/>
          </w:tcPr>
          <w:p w:rsidR="00024B34" w:rsidRPr="00E04A13" w:rsidRDefault="00024B34" w:rsidP="00A024BB">
            <w:pPr>
              <w:spacing w:before="40" w:after="40" w:line="240" w:lineRule="auto"/>
              <w:jc w:val="right"/>
              <w:rPr>
                <w:rFonts w:eastAsia="Times New Roman" w:cs="Arial"/>
                <w:sz w:val="20"/>
                <w:szCs w:val="20"/>
                <w:lang w:val="en-GB"/>
              </w:rPr>
            </w:pPr>
            <w:r w:rsidRPr="00E04A13">
              <w:rPr>
                <w:rFonts w:eastAsia="Times New Roman" w:cs="Arial"/>
                <w:sz w:val="20"/>
                <w:szCs w:val="20"/>
                <w:lang w:val="en-GB"/>
              </w:rPr>
              <w:t>1.8%</w:t>
            </w:r>
          </w:p>
        </w:tc>
        <w:tc>
          <w:tcPr>
            <w:tcW w:w="808" w:type="dxa"/>
            <w:shd w:val="clear" w:color="auto" w:fill="auto"/>
          </w:tcPr>
          <w:p w:rsidR="00024B34" w:rsidRPr="00E04A13" w:rsidRDefault="00024B34" w:rsidP="00A024BB">
            <w:pPr>
              <w:spacing w:before="40" w:after="40" w:line="240" w:lineRule="auto"/>
              <w:jc w:val="right"/>
              <w:rPr>
                <w:rFonts w:eastAsia="Times New Roman" w:cs="Arial"/>
                <w:sz w:val="20"/>
                <w:szCs w:val="20"/>
                <w:lang w:val="en-GB"/>
              </w:rPr>
            </w:pPr>
            <w:r w:rsidRPr="00A311A2">
              <w:rPr>
                <w:rFonts w:eastAsia="Times New Roman" w:cs="Arial"/>
                <w:sz w:val="20"/>
                <w:szCs w:val="20"/>
                <w:lang w:val="en-GB"/>
              </w:rPr>
              <w:t>8.6%</w:t>
            </w:r>
          </w:p>
        </w:tc>
        <w:tc>
          <w:tcPr>
            <w:tcW w:w="808" w:type="dxa"/>
            <w:vAlign w:val="bottom"/>
          </w:tcPr>
          <w:p w:rsidR="00024B34" w:rsidRPr="00E04A13" w:rsidRDefault="00024B34" w:rsidP="00A024BB">
            <w:pPr>
              <w:spacing w:before="40" w:after="40" w:line="240" w:lineRule="auto"/>
              <w:jc w:val="right"/>
              <w:rPr>
                <w:rFonts w:eastAsia="Times New Roman" w:cs="Arial"/>
                <w:sz w:val="20"/>
                <w:szCs w:val="20"/>
                <w:lang w:val="en-GB"/>
              </w:rPr>
            </w:pPr>
            <w:r w:rsidRPr="00E04A13">
              <w:rPr>
                <w:rFonts w:eastAsia="Times New Roman" w:cs="Arial"/>
                <w:sz w:val="20"/>
                <w:szCs w:val="20"/>
                <w:lang w:val="en-GB"/>
              </w:rPr>
              <w:t>2.0%</w:t>
            </w:r>
          </w:p>
        </w:tc>
        <w:tc>
          <w:tcPr>
            <w:tcW w:w="808" w:type="dxa"/>
          </w:tcPr>
          <w:p w:rsidR="00024B34" w:rsidRPr="00E04A13" w:rsidRDefault="00024B34" w:rsidP="00A024BB">
            <w:pPr>
              <w:spacing w:before="40" w:after="40" w:line="240" w:lineRule="auto"/>
              <w:jc w:val="right"/>
              <w:rPr>
                <w:rFonts w:eastAsia="Times New Roman" w:cs="Arial"/>
                <w:sz w:val="20"/>
                <w:szCs w:val="20"/>
                <w:lang w:val="en-GB"/>
              </w:rPr>
            </w:pPr>
            <w:r w:rsidRPr="00A311A2">
              <w:rPr>
                <w:rFonts w:eastAsia="Times New Roman" w:cs="Arial"/>
                <w:sz w:val="20"/>
                <w:szCs w:val="20"/>
                <w:lang w:val="en-GB"/>
              </w:rPr>
              <w:t>17.8%</w:t>
            </w:r>
          </w:p>
        </w:tc>
        <w:tc>
          <w:tcPr>
            <w:tcW w:w="808" w:type="dxa"/>
            <w:vAlign w:val="bottom"/>
          </w:tcPr>
          <w:p w:rsidR="00024B34" w:rsidRPr="00E04A13" w:rsidRDefault="00024B34" w:rsidP="00A024BB">
            <w:pPr>
              <w:spacing w:before="40" w:after="40" w:line="240" w:lineRule="auto"/>
              <w:jc w:val="right"/>
              <w:rPr>
                <w:rFonts w:eastAsia="Times New Roman" w:cs="Arial"/>
                <w:sz w:val="20"/>
                <w:szCs w:val="20"/>
                <w:lang w:val="en-GB"/>
              </w:rPr>
            </w:pPr>
            <w:r w:rsidRPr="00E04A13">
              <w:rPr>
                <w:rFonts w:eastAsia="Times New Roman" w:cs="Arial"/>
                <w:sz w:val="20"/>
                <w:szCs w:val="20"/>
                <w:lang w:val="en-GB"/>
              </w:rPr>
              <w:t>2.1%</w:t>
            </w:r>
          </w:p>
        </w:tc>
        <w:tc>
          <w:tcPr>
            <w:tcW w:w="808" w:type="dxa"/>
            <w:shd w:val="clear" w:color="auto" w:fill="auto"/>
          </w:tcPr>
          <w:p w:rsidR="00024B34" w:rsidRPr="00E04A13" w:rsidRDefault="00024B34" w:rsidP="00A024BB">
            <w:pPr>
              <w:spacing w:before="40" w:after="40" w:line="240" w:lineRule="auto"/>
              <w:jc w:val="right"/>
              <w:rPr>
                <w:rFonts w:eastAsia="Times New Roman" w:cs="Arial"/>
                <w:sz w:val="20"/>
                <w:szCs w:val="20"/>
                <w:lang w:val="en-GB"/>
              </w:rPr>
            </w:pPr>
            <w:r w:rsidRPr="00A311A2">
              <w:rPr>
                <w:rFonts w:eastAsia="Times New Roman" w:cs="Arial"/>
                <w:sz w:val="20"/>
                <w:szCs w:val="20"/>
                <w:lang w:val="en-GB"/>
              </w:rPr>
              <w:t>17.8%</w:t>
            </w:r>
          </w:p>
        </w:tc>
        <w:tc>
          <w:tcPr>
            <w:tcW w:w="808" w:type="dxa"/>
            <w:vAlign w:val="bottom"/>
          </w:tcPr>
          <w:p w:rsidR="00024B34" w:rsidRPr="00E04A13" w:rsidRDefault="00024B34" w:rsidP="00A024BB">
            <w:pPr>
              <w:spacing w:before="40" w:after="40" w:line="240" w:lineRule="auto"/>
              <w:jc w:val="right"/>
              <w:rPr>
                <w:rFonts w:eastAsia="Times New Roman" w:cs="Arial"/>
                <w:sz w:val="20"/>
                <w:szCs w:val="20"/>
                <w:lang w:val="en-GB"/>
              </w:rPr>
            </w:pPr>
            <w:r>
              <w:rPr>
                <w:rFonts w:eastAsia="Times New Roman" w:cs="Arial"/>
                <w:sz w:val="20"/>
                <w:szCs w:val="20"/>
                <w:lang w:val="en-GB"/>
              </w:rPr>
              <w:t>7.9%</w:t>
            </w:r>
          </w:p>
        </w:tc>
        <w:tc>
          <w:tcPr>
            <w:tcW w:w="808" w:type="dxa"/>
            <w:shd w:val="clear" w:color="auto" w:fill="auto"/>
          </w:tcPr>
          <w:p w:rsidR="00024B34" w:rsidRPr="00E04A13" w:rsidRDefault="00024B34" w:rsidP="00A024BB">
            <w:pPr>
              <w:spacing w:before="40" w:after="40" w:line="240" w:lineRule="auto"/>
              <w:jc w:val="right"/>
              <w:rPr>
                <w:rFonts w:eastAsia="Times New Roman" w:cs="Arial"/>
                <w:sz w:val="20"/>
                <w:szCs w:val="20"/>
                <w:lang w:val="en-GB"/>
              </w:rPr>
            </w:pPr>
            <w:r>
              <w:rPr>
                <w:rFonts w:eastAsia="Times New Roman" w:cs="Arial"/>
                <w:sz w:val="20"/>
                <w:szCs w:val="20"/>
                <w:lang w:val="en-GB"/>
              </w:rPr>
              <w:t>78.0%</w:t>
            </w:r>
          </w:p>
        </w:tc>
      </w:tr>
      <w:tr w:rsidR="00AF37AC" w:rsidRPr="00E04A13">
        <w:trPr>
          <w:trHeight w:val="255"/>
        </w:trPr>
        <w:tc>
          <w:tcPr>
            <w:tcW w:w="993" w:type="dxa"/>
            <w:shd w:val="clear" w:color="auto" w:fill="auto"/>
            <w:noWrap/>
            <w:tcMar>
              <w:right w:w="0" w:type="dxa"/>
            </w:tcMar>
            <w:vAlign w:val="bottom"/>
          </w:tcPr>
          <w:p w:rsidR="00024B34" w:rsidRPr="00E04A13" w:rsidRDefault="00024B34" w:rsidP="00A024BB">
            <w:pPr>
              <w:spacing w:before="40" w:after="40" w:line="240" w:lineRule="auto"/>
              <w:jc w:val="left"/>
              <w:rPr>
                <w:rFonts w:eastAsia="Times New Roman" w:cs="Arial"/>
                <w:sz w:val="20"/>
                <w:szCs w:val="20"/>
                <w:lang w:val="en-GB"/>
              </w:rPr>
            </w:pPr>
            <w:r w:rsidRPr="00E04A13">
              <w:rPr>
                <w:rFonts w:eastAsia="Times New Roman" w:cs="Arial"/>
                <w:sz w:val="20"/>
                <w:szCs w:val="20"/>
                <w:lang w:val="en-GB"/>
              </w:rPr>
              <w:t>Germany</w:t>
            </w:r>
          </w:p>
        </w:tc>
        <w:tc>
          <w:tcPr>
            <w:tcW w:w="807" w:type="dxa"/>
            <w:shd w:val="clear" w:color="auto" w:fill="auto"/>
            <w:noWrap/>
            <w:vAlign w:val="bottom"/>
          </w:tcPr>
          <w:p w:rsidR="00024B34" w:rsidRPr="00E04A13" w:rsidRDefault="00024B34" w:rsidP="00A024BB">
            <w:pPr>
              <w:spacing w:before="40" w:after="40" w:line="240" w:lineRule="auto"/>
              <w:jc w:val="right"/>
              <w:rPr>
                <w:rFonts w:eastAsia="Times New Roman" w:cs="Arial"/>
                <w:sz w:val="20"/>
                <w:szCs w:val="20"/>
                <w:lang w:val="en-GB"/>
              </w:rPr>
            </w:pPr>
            <w:r w:rsidRPr="00E04A13">
              <w:rPr>
                <w:rFonts w:eastAsia="Times New Roman" w:cs="Arial"/>
                <w:sz w:val="20"/>
                <w:szCs w:val="20"/>
                <w:lang w:val="en-GB"/>
              </w:rPr>
              <w:t>3.0%</w:t>
            </w:r>
          </w:p>
        </w:tc>
        <w:tc>
          <w:tcPr>
            <w:tcW w:w="808" w:type="dxa"/>
          </w:tcPr>
          <w:p w:rsidR="00024B34" w:rsidRPr="00E04A13" w:rsidRDefault="00024B34" w:rsidP="00A024BB">
            <w:pPr>
              <w:spacing w:before="40" w:after="40" w:line="240" w:lineRule="auto"/>
              <w:jc w:val="right"/>
              <w:rPr>
                <w:rFonts w:eastAsia="Times New Roman" w:cs="Arial"/>
                <w:sz w:val="20"/>
                <w:szCs w:val="20"/>
                <w:lang w:val="en-GB"/>
              </w:rPr>
            </w:pPr>
            <w:r w:rsidRPr="00A311A2">
              <w:rPr>
                <w:rFonts w:eastAsia="Times New Roman" w:cs="Arial"/>
                <w:sz w:val="20"/>
                <w:szCs w:val="20"/>
                <w:lang w:val="en-GB"/>
              </w:rPr>
              <w:t>1.9%</w:t>
            </w:r>
          </w:p>
        </w:tc>
        <w:tc>
          <w:tcPr>
            <w:tcW w:w="808" w:type="dxa"/>
            <w:vAlign w:val="bottom"/>
          </w:tcPr>
          <w:p w:rsidR="00024B34" w:rsidRPr="00E04A13" w:rsidRDefault="00024B34" w:rsidP="00A024BB">
            <w:pPr>
              <w:spacing w:before="40" w:after="40" w:line="240" w:lineRule="auto"/>
              <w:jc w:val="right"/>
              <w:rPr>
                <w:rFonts w:eastAsia="Times New Roman" w:cs="Arial"/>
                <w:sz w:val="20"/>
                <w:szCs w:val="20"/>
                <w:lang w:val="en-GB"/>
              </w:rPr>
            </w:pPr>
            <w:r w:rsidRPr="00E04A13">
              <w:rPr>
                <w:rFonts w:eastAsia="Times New Roman" w:cs="Arial"/>
                <w:sz w:val="20"/>
                <w:szCs w:val="20"/>
                <w:lang w:val="en-GB"/>
              </w:rPr>
              <w:t>3.0%</w:t>
            </w:r>
          </w:p>
        </w:tc>
        <w:tc>
          <w:tcPr>
            <w:tcW w:w="808" w:type="dxa"/>
            <w:shd w:val="clear" w:color="auto" w:fill="auto"/>
          </w:tcPr>
          <w:p w:rsidR="00024B34" w:rsidRPr="00E04A13" w:rsidRDefault="00024B34" w:rsidP="00A024BB">
            <w:pPr>
              <w:spacing w:before="40" w:after="40" w:line="240" w:lineRule="auto"/>
              <w:jc w:val="right"/>
              <w:rPr>
                <w:rFonts w:eastAsia="Times New Roman" w:cs="Arial"/>
                <w:sz w:val="20"/>
                <w:szCs w:val="20"/>
                <w:lang w:val="en-GB"/>
              </w:rPr>
            </w:pPr>
            <w:r w:rsidRPr="00A311A2">
              <w:rPr>
                <w:rFonts w:eastAsia="Times New Roman" w:cs="Arial"/>
                <w:sz w:val="20"/>
                <w:szCs w:val="20"/>
                <w:lang w:val="en-GB"/>
              </w:rPr>
              <w:t>-4.0%</w:t>
            </w:r>
          </w:p>
        </w:tc>
        <w:tc>
          <w:tcPr>
            <w:tcW w:w="808" w:type="dxa"/>
            <w:vAlign w:val="bottom"/>
          </w:tcPr>
          <w:p w:rsidR="00024B34" w:rsidRPr="00E04A13" w:rsidRDefault="00024B34" w:rsidP="00A024BB">
            <w:pPr>
              <w:spacing w:before="40" w:after="40" w:line="240" w:lineRule="auto"/>
              <w:jc w:val="right"/>
              <w:rPr>
                <w:rFonts w:eastAsia="Times New Roman" w:cs="Arial"/>
                <w:sz w:val="20"/>
                <w:szCs w:val="20"/>
                <w:lang w:val="en-GB"/>
              </w:rPr>
            </w:pPr>
            <w:r w:rsidRPr="00E04A13">
              <w:rPr>
                <w:rFonts w:eastAsia="Times New Roman" w:cs="Arial"/>
                <w:sz w:val="20"/>
                <w:szCs w:val="20"/>
                <w:lang w:val="en-GB"/>
              </w:rPr>
              <w:t>3.5%</w:t>
            </w:r>
          </w:p>
        </w:tc>
        <w:tc>
          <w:tcPr>
            <w:tcW w:w="808" w:type="dxa"/>
          </w:tcPr>
          <w:p w:rsidR="00024B34" w:rsidRPr="00E04A13" w:rsidRDefault="00024B34" w:rsidP="00A024BB">
            <w:pPr>
              <w:spacing w:before="40" w:after="40" w:line="240" w:lineRule="auto"/>
              <w:jc w:val="right"/>
              <w:rPr>
                <w:rFonts w:eastAsia="Times New Roman" w:cs="Arial"/>
                <w:sz w:val="20"/>
                <w:szCs w:val="20"/>
                <w:lang w:val="en-GB"/>
              </w:rPr>
            </w:pPr>
            <w:r w:rsidRPr="00A311A2">
              <w:rPr>
                <w:rFonts w:eastAsia="Times New Roman" w:cs="Arial"/>
                <w:sz w:val="20"/>
                <w:szCs w:val="20"/>
                <w:lang w:val="en-GB"/>
              </w:rPr>
              <w:t>5.1%</w:t>
            </w:r>
          </w:p>
        </w:tc>
        <w:tc>
          <w:tcPr>
            <w:tcW w:w="808" w:type="dxa"/>
            <w:vAlign w:val="bottom"/>
          </w:tcPr>
          <w:p w:rsidR="00024B34" w:rsidRPr="00E04A13" w:rsidRDefault="00024B34" w:rsidP="00A024BB">
            <w:pPr>
              <w:spacing w:before="40" w:after="40" w:line="240" w:lineRule="auto"/>
              <w:jc w:val="right"/>
              <w:rPr>
                <w:rFonts w:eastAsia="Times New Roman" w:cs="Arial"/>
                <w:sz w:val="20"/>
                <w:szCs w:val="20"/>
                <w:lang w:val="en-GB"/>
              </w:rPr>
            </w:pPr>
            <w:r w:rsidRPr="00E04A13">
              <w:rPr>
                <w:rFonts w:eastAsia="Times New Roman" w:cs="Arial"/>
                <w:sz w:val="20"/>
                <w:szCs w:val="20"/>
                <w:lang w:val="en-GB"/>
              </w:rPr>
              <w:t>3.5%</w:t>
            </w:r>
          </w:p>
        </w:tc>
        <w:tc>
          <w:tcPr>
            <w:tcW w:w="808" w:type="dxa"/>
            <w:shd w:val="clear" w:color="auto" w:fill="auto"/>
          </w:tcPr>
          <w:p w:rsidR="00024B34" w:rsidRPr="00E04A13" w:rsidRDefault="00024B34" w:rsidP="00A024BB">
            <w:pPr>
              <w:spacing w:before="40" w:after="40" w:line="240" w:lineRule="auto"/>
              <w:jc w:val="right"/>
              <w:rPr>
                <w:rFonts w:eastAsia="Times New Roman" w:cs="Arial"/>
                <w:sz w:val="20"/>
                <w:szCs w:val="20"/>
                <w:lang w:val="en-GB"/>
              </w:rPr>
            </w:pPr>
            <w:r w:rsidRPr="00A311A2">
              <w:rPr>
                <w:rFonts w:eastAsia="Times New Roman" w:cs="Arial"/>
                <w:sz w:val="20"/>
                <w:szCs w:val="20"/>
                <w:lang w:val="en-GB"/>
              </w:rPr>
              <w:t>4.6%</w:t>
            </w:r>
          </w:p>
        </w:tc>
        <w:tc>
          <w:tcPr>
            <w:tcW w:w="808" w:type="dxa"/>
            <w:vAlign w:val="bottom"/>
          </w:tcPr>
          <w:p w:rsidR="00024B34" w:rsidRPr="00E04A13" w:rsidRDefault="00024B34" w:rsidP="00A024BB">
            <w:pPr>
              <w:spacing w:before="40" w:after="40" w:line="240" w:lineRule="auto"/>
              <w:jc w:val="right"/>
              <w:rPr>
                <w:rFonts w:eastAsia="Times New Roman" w:cs="Arial"/>
                <w:sz w:val="20"/>
                <w:szCs w:val="20"/>
                <w:lang w:val="en-GB"/>
              </w:rPr>
            </w:pPr>
            <w:r>
              <w:rPr>
                <w:rFonts w:eastAsia="Times New Roman" w:cs="Arial"/>
                <w:sz w:val="20"/>
                <w:szCs w:val="20"/>
                <w:lang w:val="en-GB"/>
              </w:rPr>
              <w:t>13.6%</w:t>
            </w:r>
          </w:p>
        </w:tc>
        <w:tc>
          <w:tcPr>
            <w:tcW w:w="808" w:type="dxa"/>
            <w:shd w:val="clear" w:color="auto" w:fill="auto"/>
          </w:tcPr>
          <w:p w:rsidR="00024B34" w:rsidRPr="00E04A13" w:rsidRDefault="00024B34" w:rsidP="00A024BB">
            <w:pPr>
              <w:spacing w:before="40" w:after="40" w:line="240" w:lineRule="auto"/>
              <w:jc w:val="right"/>
              <w:rPr>
                <w:rFonts w:eastAsia="Times New Roman" w:cs="Arial"/>
                <w:sz w:val="20"/>
                <w:szCs w:val="20"/>
                <w:lang w:val="en-GB"/>
              </w:rPr>
            </w:pPr>
            <w:r>
              <w:rPr>
                <w:rFonts w:eastAsia="Times New Roman" w:cs="Arial"/>
                <w:sz w:val="20"/>
                <w:szCs w:val="20"/>
                <w:lang w:val="en-GB"/>
              </w:rPr>
              <w:t>7.5%</w:t>
            </w:r>
          </w:p>
        </w:tc>
      </w:tr>
      <w:tr w:rsidR="00AF37AC" w:rsidRPr="00E04A13">
        <w:trPr>
          <w:trHeight w:val="255"/>
        </w:trPr>
        <w:tc>
          <w:tcPr>
            <w:tcW w:w="993" w:type="dxa"/>
            <w:shd w:val="clear" w:color="auto" w:fill="auto"/>
            <w:noWrap/>
            <w:vAlign w:val="bottom"/>
          </w:tcPr>
          <w:p w:rsidR="00024B34" w:rsidRPr="00E04A13" w:rsidRDefault="00024B34" w:rsidP="00A024BB">
            <w:pPr>
              <w:spacing w:before="40" w:after="40" w:line="240" w:lineRule="auto"/>
              <w:jc w:val="left"/>
              <w:rPr>
                <w:rFonts w:eastAsia="Times New Roman" w:cs="Arial"/>
                <w:sz w:val="20"/>
                <w:szCs w:val="20"/>
                <w:lang w:val="en-GB"/>
              </w:rPr>
            </w:pPr>
            <w:r w:rsidRPr="00E04A13">
              <w:rPr>
                <w:rFonts w:eastAsia="Times New Roman" w:cs="Arial"/>
                <w:sz w:val="20"/>
                <w:szCs w:val="20"/>
                <w:lang w:val="en-GB"/>
              </w:rPr>
              <w:t>Italy</w:t>
            </w:r>
          </w:p>
        </w:tc>
        <w:tc>
          <w:tcPr>
            <w:tcW w:w="807" w:type="dxa"/>
            <w:shd w:val="clear" w:color="auto" w:fill="auto"/>
            <w:noWrap/>
            <w:vAlign w:val="bottom"/>
          </w:tcPr>
          <w:p w:rsidR="00024B34" w:rsidRPr="00E04A13" w:rsidRDefault="00024B34" w:rsidP="00A024BB">
            <w:pPr>
              <w:spacing w:before="40" w:after="40" w:line="240" w:lineRule="auto"/>
              <w:jc w:val="right"/>
              <w:rPr>
                <w:rFonts w:eastAsia="Times New Roman" w:cs="Arial"/>
                <w:sz w:val="20"/>
                <w:szCs w:val="20"/>
                <w:lang w:val="en-GB"/>
              </w:rPr>
            </w:pPr>
            <w:r w:rsidRPr="00E04A13">
              <w:rPr>
                <w:rFonts w:eastAsia="Times New Roman" w:cs="Arial"/>
                <w:sz w:val="20"/>
                <w:szCs w:val="20"/>
                <w:lang w:val="en-GB"/>
              </w:rPr>
              <w:t>2.1%</w:t>
            </w:r>
          </w:p>
        </w:tc>
        <w:tc>
          <w:tcPr>
            <w:tcW w:w="808" w:type="dxa"/>
          </w:tcPr>
          <w:p w:rsidR="00024B34" w:rsidRPr="00E04A13" w:rsidRDefault="00024B34" w:rsidP="00A024BB">
            <w:pPr>
              <w:spacing w:before="40" w:after="40" w:line="240" w:lineRule="auto"/>
              <w:jc w:val="right"/>
              <w:rPr>
                <w:rFonts w:eastAsia="Times New Roman" w:cs="Arial"/>
                <w:sz w:val="20"/>
                <w:szCs w:val="20"/>
                <w:lang w:val="en-GB"/>
              </w:rPr>
            </w:pPr>
            <w:r w:rsidRPr="00A311A2">
              <w:rPr>
                <w:rFonts w:eastAsia="Times New Roman" w:cs="Arial"/>
                <w:sz w:val="20"/>
                <w:szCs w:val="20"/>
                <w:lang w:val="en-GB"/>
              </w:rPr>
              <w:t>1.3%</w:t>
            </w:r>
          </w:p>
        </w:tc>
        <w:tc>
          <w:tcPr>
            <w:tcW w:w="808" w:type="dxa"/>
            <w:vAlign w:val="bottom"/>
          </w:tcPr>
          <w:p w:rsidR="00024B34" w:rsidRPr="00E04A13" w:rsidRDefault="00024B34" w:rsidP="00A024BB">
            <w:pPr>
              <w:spacing w:before="40" w:after="40" w:line="240" w:lineRule="auto"/>
              <w:jc w:val="right"/>
              <w:rPr>
                <w:rFonts w:eastAsia="Times New Roman" w:cs="Arial"/>
                <w:sz w:val="20"/>
                <w:szCs w:val="20"/>
                <w:lang w:val="en-GB"/>
              </w:rPr>
            </w:pPr>
            <w:r w:rsidRPr="00E04A13">
              <w:rPr>
                <w:rFonts w:eastAsia="Times New Roman" w:cs="Arial"/>
                <w:sz w:val="20"/>
                <w:szCs w:val="20"/>
                <w:lang w:val="en-GB"/>
              </w:rPr>
              <w:t>2.1%</w:t>
            </w:r>
          </w:p>
        </w:tc>
        <w:tc>
          <w:tcPr>
            <w:tcW w:w="808" w:type="dxa"/>
            <w:shd w:val="clear" w:color="auto" w:fill="auto"/>
          </w:tcPr>
          <w:p w:rsidR="00024B34" w:rsidRPr="00E04A13" w:rsidRDefault="00024B34" w:rsidP="00A024BB">
            <w:pPr>
              <w:spacing w:before="40" w:after="40" w:line="240" w:lineRule="auto"/>
              <w:jc w:val="right"/>
              <w:rPr>
                <w:rFonts w:eastAsia="Times New Roman" w:cs="Arial"/>
                <w:sz w:val="20"/>
                <w:szCs w:val="20"/>
                <w:lang w:val="en-GB"/>
              </w:rPr>
            </w:pPr>
            <w:r w:rsidRPr="00A311A2">
              <w:rPr>
                <w:rFonts w:eastAsia="Times New Roman" w:cs="Arial"/>
                <w:sz w:val="20"/>
                <w:szCs w:val="20"/>
                <w:lang w:val="en-GB"/>
              </w:rPr>
              <w:t>-3.5%</w:t>
            </w:r>
          </w:p>
        </w:tc>
        <w:tc>
          <w:tcPr>
            <w:tcW w:w="808" w:type="dxa"/>
            <w:vAlign w:val="bottom"/>
          </w:tcPr>
          <w:p w:rsidR="00024B34" w:rsidRPr="00E04A13" w:rsidRDefault="00024B34" w:rsidP="00A024BB">
            <w:pPr>
              <w:spacing w:before="40" w:after="40" w:line="240" w:lineRule="auto"/>
              <w:jc w:val="right"/>
              <w:rPr>
                <w:rFonts w:eastAsia="Times New Roman" w:cs="Arial"/>
                <w:sz w:val="20"/>
                <w:szCs w:val="20"/>
                <w:lang w:val="en-GB"/>
              </w:rPr>
            </w:pPr>
            <w:r w:rsidRPr="00E04A13">
              <w:rPr>
                <w:rFonts w:eastAsia="Times New Roman" w:cs="Arial"/>
                <w:sz w:val="20"/>
                <w:szCs w:val="20"/>
                <w:lang w:val="en-GB"/>
              </w:rPr>
              <w:t>2.4%</w:t>
            </w:r>
          </w:p>
        </w:tc>
        <w:tc>
          <w:tcPr>
            <w:tcW w:w="808" w:type="dxa"/>
          </w:tcPr>
          <w:p w:rsidR="00024B34" w:rsidRPr="00E04A13" w:rsidRDefault="00024B34" w:rsidP="00A024BB">
            <w:pPr>
              <w:spacing w:before="40" w:after="40" w:line="240" w:lineRule="auto"/>
              <w:jc w:val="right"/>
              <w:rPr>
                <w:rFonts w:eastAsia="Times New Roman" w:cs="Arial"/>
                <w:sz w:val="20"/>
                <w:szCs w:val="20"/>
                <w:lang w:val="en-GB"/>
              </w:rPr>
            </w:pPr>
            <w:r w:rsidRPr="00A311A2">
              <w:rPr>
                <w:rFonts w:eastAsia="Times New Roman" w:cs="Arial"/>
                <w:sz w:val="20"/>
                <w:szCs w:val="20"/>
                <w:lang w:val="en-GB"/>
              </w:rPr>
              <w:t>2.1%</w:t>
            </w:r>
          </w:p>
        </w:tc>
        <w:tc>
          <w:tcPr>
            <w:tcW w:w="808" w:type="dxa"/>
            <w:vAlign w:val="bottom"/>
          </w:tcPr>
          <w:p w:rsidR="00024B34" w:rsidRPr="00E04A13" w:rsidRDefault="00024B34" w:rsidP="00A024BB">
            <w:pPr>
              <w:spacing w:before="40" w:after="40" w:line="240" w:lineRule="auto"/>
              <w:jc w:val="right"/>
              <w:rPr>
                <w:rFonts w:eastAsia="Times New Roman" w:cs="Arial"/>
                <w:sz w:val="20"/>
                <w:szCs w:val="20"/>
                <w:lang w:val="en-GB"/>
              </w:rPr>
            </w:pPr>
            <w:r w:rsidRPr="00E04A13">
              <w:rPr>
                <w:rFonts w:eastAsia="Times New Roman" w:cs="Arial"/>
                <w:sz w:val="20"/>
                <w:szCs w:val="20"/>
                <w:lang w:val="en-GB"/>
              </w:rPr>
              <w:t>2.5%</w:t>
            </w:r>
          </w:p>
        </w:tc>
        <w:tc>
          <w:tcPr>
            <w:tcW w:w="808" w:type="dxa"/>
            <w:shd w:val="clear" w:color="auto" w:fill="auto"/>
          </w:tcPr>
          <w:p w:rsidR="00024B34" w:rsidRPr="00E04A13" w:rsidRDefault="00BB7B60" w:rsidP="00A024BB">
            <w:pPr>
              <w:spacing w:before="40" w:after="40" w:line="240" w:lineRule="auto"/>
              <w:jc w:val="right"/>
              <w:rPr>
                <w:rFonts w:eastAsia="Times New Roman" w:cs="Arial"/>
                <w:sz w:val="20"/>
                <w:szCs w:val="20"/>
                <w:lang w:val="en-GB"/>
              </w:rPr>
            </w:pPr>
            <w:r>
              <w:rPr>
                <w:rFonts w:eastAsia="Times New Roman" w:cs="Arial"/>
                <w:sz w:val="20"/>
                <w:szCs w:val="20"/>
                <w:lang w:val="en-GB"/>
              </w:rPr>
              <w:t>-0.</w:t>
            </w:r>
            <w:r w:rsidR="00024B34" w:rsidRPr="00A311A2">
              <w:rPr>
                <w:rFonts w:eastAsia="Times New Roman" w:cs="Arial"/>
                <w:sz w:val="20"/>
                <w:szCs w:val="20"/>
                <w:lang w:val="en-GB"/>
              </w:rPr>
              <w:t>8%</w:t>
            </w:r>
          </w:p>
        </w:tc>
        <w:tc>
          <w:tcPr>
            <w:tcW w:w="808" w:type="dxa"/>
            <w:vAlign w:val="bottom"/>
          </w:tcPr>
          <w:p w:rsidR="00024B34" w:rsidRPr="00E04A13" w:rsidRDefault="00BB7B60" w:rsidP="00A024BB">
            <w:pPr>
              <w:spacing w:before="40" w:after="40" w:line="240" w:lineRule="auto"/>
              <w:jc w:val="right"/>
              <w:rPr>
                <w:rFonts w:eastAsia="Times New Roman" w:cs="Arial"/>
                <w:sz w:val="20"/>
                <w:szCs w:val="20"/>
                <w:lang w:val="en-GB"/>
              </w:rPr>
            </w:pPr>
            <w:r>
              <w:rPr>
                <w:rFonts w:eastAsia="Times New Roman" w:cs="Arial"/>
                <w:sz w:val="20"/>
                <w:szCs w:val="20"/>
                <w:lang w:val="en-GB"/>
              </w:rPr>
              <w:t>9.4%</w:t>
            </w:r>
          </w:p>
        </w:tc>
        <w:tc>
          <w:tcPr>
            <w:tcW w:w="808" w:type="dxa"/>
            <w:shd w:val="clear" w:color="auto" w:fill="auto"/>
          </w:tcPr>
          <w:p w:rsidR="00024B34" w:rsidRPr="00E04A13" w:rsidRDefault="00BB7B60" w:rsidP="00A024BB">
            <w:pPr>
              <w:spacing w:before="40" w:after="40" w:line="240" w:lineRule="auto"/>
              <w:jc w:val="right"/>
              <w:rPr>
                <w:rFonts w:eastAsia="Times New Roman" w:cs="Arial"/>
                <w:sz w:val="20"/>
                <w:szCs w:val="20"/>
                <w:lang w:val="en-GB"/>
              </w:rPr>
            </w:pPr>
            <w:r>
              <w:rPr>
                <w:rFonts w:eastAsia="Times New Roman" w:cs="Arial"/>
                <w:sz w:val="20"/>
                <w:szCs w:val="20"/>
                <w:lang w:val="en-GB"/>
              </w:rPr>
              <w:t>-1.0%</w:t>
            </w:r>
          </w:p>
        </w:tc>
      </w:tr>
      <w:tr w:rsidR="00AF37AC" w:rsidRPr="00E04A13">
        <w:trPr>
          <w:trHeight w:val="255"/>
        </w:trPr>
        <w:tc>
          <w:tcPr>
            <w:tcW w:w="993" w:type="dxa"/>
            <w:shd w:val="clear" w:color="auto" w:fill="auto"/>
            <w:noWrap/>
            <w:vAlign w:val="bottom"/>
          </w:tcPr>
          <w:p w:rsidR="00024B34" w:rsidRPr="00E04A13" w:rsidRDefault="00024B34" w:rsidP="00A024BB">
            <w:pPr>
              <w:spacing w:before="40" w:after="40" w:line="240" w:lineRule="auto"/>
              <w:jc w:val="left"/>
              <w:rPr>
                <w:rFonts w:eastAsia="Times New Roman" w:cs="Arial"/>
                <w:sz w:val="20"/>
                <w:szCs w:val="20"/>
                <w:lang w:val="en-GB"/>
              </w:rPr>
            </w:pPr>
            <w:r w:rsidRPr="00E04A13">
              <w:rPr>
                <w:rFonts w:eastAsia="Times New Roman" w:cs="Arial"/>
                <w:sz w:val="20"/>
                <w:szCs w:val="20"/>
                <w:lang w:val="en-GB"/>
              </w:rPr>
              <w:t>Mexico</w:t>
            </w:r>
          </w:p>
        </w:tc>
        <w:tc>
          <w:tcPr>
            <w:tcW w:w="807" w:type="dxa"/>
            <w:shd w:val="clear" w:color="auto" w:fill="auto"/>
            <w:noWrap/>
            <w:vAlign w:val="bottom"/>
          </w:tcPr>
          <w:p w:rsidR="00024B34" w:rsidRPr="00E04A13" w:rsidRDefault="00024B34" w:rsidP="00A024BB">
            <w:pPr>
              <w:spacing w:before="40" w:after="40" w:line="240" w:lineRule="auto"/>
              <w:jc w:val="right"/>
              <w:rPr>
                <w:rFonts w:eastAsia="Times New Roman" w:cs="Arial"/>
                <w:sz w:val="20"/>
                <w:szCs w:val="20"/>
                <w:lang w:val="en-GB"/>
              </w:rPr>
            </w:pPr>
            <w:r w:rsidRPr="00E04A13">
              <w:rPr>
                <w:rFonts w:eastAsia="Times New Roman" w:cs="Arial"/>
                <w:sz w:val="20"/>
                <w:szCs w:val="20"/>
                <w:lang w:val="en-GB"/>
              </w:rPr>
              <w:t>5.8%</w:t>
            </w:r>
          </w:p>
        </w:tc>
        <w:tc>
          <w:tcPr>
            <w:tcW w:w="808" w:type="dxa"/>
          </w:tcPr>
          <w:p w:rsidR="00024B34" w:rsidRPr="00E04A13" w:rsidRDefault="00024B34" w:rsidP="00A024BB">
            <w:pPr>
              <w:spacing w:before="40" w:after="40" w:line="240" w:lineRule="auto"/>
              <w:jc w:val="right"/>
              <w:rPr>
                <w:rFonts w:eastAsia="Times New Roman" w:cs="Arial"/>
                <w:sz w:val="20"/>
                <w:szCs w:val="20"/>
                <w:lang w:val="en-GB"/>
              </w:rPr>
            </w:pPr>
            <w:r w:rsidRPr="00A311A2">
              <w:rPr>
                <w:rFonts w:eastAsia="Times New Roman" w:cs="Arial"/>
                <w:sz w:val="20"/>
                <w:szCs w:val="20"/>
                <w:lang w:val="en-GB"/>
              </w:rPr>
              <w:t>7.5%</w:t>
            </w:r>
          </w:p>
        </w:tc>
        <w:tc>
          <w:tcPr>
            <w:tcW w:w="808" w:type="dxa"/>
            <w:vAlign w:val="bottom"/>
          </w:tcPr>
          <w:p w:rsidR="00024B34" w:rsidRPr="00E04A13" w:rsidRDefault="00024B34" w:rsidP="00A024BB">
            <w:pPr>
              <w:spacing w:before="40" w:after="40" w:line="240" w:lineRule="auto"/>
              <w:jc w:val="right"/>
              <w:rPr>
                <w:rFonts w:eastAsia="Times New Roman" w:cs="Arial"/>
                <w:sz w:val="20"/>
                <w:szCs w:val="20"/>
                <w:lang w:val="en-GB"/>
              </w:rPr>
            </w:pPr>
            <w:r w:rsidRPr="00E04A13">
              <w:rPr>
                <w:rFonts w:eastAsia="Times New Roman" w:cs="Arial"/>
                <w:sz w:val="20"/>
                <w:szCs w:val="20"/>
                <w:lang w:val="en-GB"/>
              </w:rPr>
              <w:t>5.9%</w:t>
            </w:r>
          </w:p>
        </w:tc>
        <w:tc>
          <w:tcPr>
            <w:tcW w:w="808" w:type="dxa"/>
            <w:shd w:val="clear" w:color="auto" w:fill="auto"/>
          </w:tcPr>
          <w:p w:rsidR="00024B34" w:rsidRPr="00E04A13" w:rsidRDefault="00024B34" w:rsidP="00A024BB">
            <w:pPr>
              <w:spacing w:before="40" w:after="40" w:line="240" w:lineRule="auto"/>
              <w:jc w:val="right"/>
              <w:rPr>
                <w:rFonts w:eastAsia="Times New Roman" w:cs="Arial"/>
                <w:sz w:val="20"/>
                <w:szCs w:val="20"/>
                <w:lang w:val="en-GB"/>
              </w:rPr>
            </w:pPr>
            <w:r w:rsidRPr="00A311A2">
              <w:rPr>
                <w:rFonts w:eastAsia="Times New Roman" w:cs="Arial"/>
                <w:sz w:val="20"/>
                <w:szCs w:val="20"/>
                <w:lang w:val="en-GB"/>
              </w:rPr>
              <w:t>-1.3%</w:t>
            </w:r>
          </w:p>
        </w:tc>
        <w:tc>
          <w:tcPr>
            <w:tcW w:w="808" w:type="dxa"/>
            <w:vAlign w:val="bottom"/>
          </w:tcPr>
          <w:p w:rsidR="00024B34" w:rsidRPr="00E04A13" w:rsidRDefault="00024B34" w:rsidP="00A024BB">
            <w:pPr>
              <w:spacing w:before="40" w:after="40" w:line="240" w:lineRule="auto"/>
              <w:jc w:val="right"/>
              <w:rPr>
                <w:rFonts w:eastAsia="Times New Roman" w:cs="Arial"/>
                <w:sz w:val="20"/>
                <w:szCs w:val="20"/>
                <w:lang w:val="en-GB"/>
              </w:rPr>
            </w:pPr>
            <w:r w:rsidRPr="00E04A13">
              <w:rPr>
                <w:rFonts w:eastAsia="Times New Roman" w:cs="Arial"/>
                <w:sz w:val="20"/>
                <w:szCs w:val="20"/>
                <w:lang w:val="en-GB"/>
              </w:rPr>
              <w:t>6.5%</w:t>
            </w:r>
          </w:p>
        </w:tc>
        <w:tc>
          <w:tcPr>
            <w:tcW w:w="808" w:type="dxa"/>
          </w:tcPr>
          <w:p w:rsidR="00024B34" w:rsidRPr="00E04A13" w:rsidRDefault="00024B34" w:rsidP="00A024BB">
            <w:pPr>
              <w:spacing w:before="40" w:after="40" w:line="240" w:lineRule="auto"/>
              <w:jc w:val="right"/>
              <w:rPr>
                <w:rFonts w:eastAsia="Times New Roman" w:cs="Arial"/>
                <w:sz w:val="20"/>
                <w:szCs w:val="20"/>
                <w:lang w:val="en-GB"/>
              </w:rPr>
            </w:pPr>
            <w:r w:rsidRPr="00A311A2">
              <w:rPr>
                <w:rFonts w:eastAsia="Times New Roman" w:cs="Arial"/>
                <w:sz w:val="20"/>
                <w:szCs w:val="20"/>
                <w:lang w:val="en-GB"/>
              </w:rPr>
              <w:t>9.4%</w:t>
            </w:r>
          </w:p>
        </w:tc>
        <w:tc>
          <w:tcPr>
            <w:tcW w:w="808" w:type="dxa"/>
            <w:vAlign w:val="bottom"/>
          </w:tcPr>
          <w:p w:rsidR="00024B34" w:rsidRPr="00E04A13" w:rsidRDefault="00024B34" w:rsidP="00A024BB">
            <w:pPr>
              <w:spacing w:before="40" w:after="40" w:line="240" w:lineRule="auto"/>
              <w:jc w:val="right"/>
              <w:rPr>
                <w:rFonts w:eastAsia="Times New Roman" w:cs="Arial"/>
                <w:sz w:val="20"/>
                <w:szCs w:val="20"/>
                <w:lang w:val="en-GB"/>
              </w:rPr>
            </w:pPr>
            <w:r w:rsidRPr="00E04A13">
              <w:rPr>
                <w:rFonts w:eastAsia="Times New Roman" w:cs="Arial"/>
                <w:sz w:val="20"/>
                <w:szCs w:val="20"/>
                <w:lang w:val="en-GB"/>
              </w:rPr>
              <w:t>6.6%</w:t>
            </w:r>
          </w:p>
        </w:tc>
        <w:tc>
          <w:tcPr>
            <w:tcW w:w="808" w:type="dxa"/>
            <w:shd w:val="clear" w:color="auto" w:fill="auto"/>
          </w:tcPr>
          <w:p w:rsidR="00024B34" w:rsidRPr="00E04A13" w:rsidRDefault="00024B34" w:rsidP="00A024BB">
            <w:pPr>
              <w:spacing w:before="40" w:after="40" w:line="240" w:lineRule="auto"/>
              <w:jc w:val="right"/>
              <w:rPr>
                <w:rFonts w:eastAsia="Times New Roman" w:cs="Arial"/>
                <w:sz w:val="20"/>
                <w:szCs w:val="20"/>
                <w:lang w:val="en-GB"/>
              </w:rPr>
            </w:pPr>
            <w:r w:rsidRPr="00A311A2">
              <w:rPr>
                <w:rFonts w:eastAsia="Times New Roman" w:cs="Arial"/>
                <w:sz w:val="20"/>
                <w:szCs w:val="20"/>
                <w:lang w:val="en-GB"/>
              </w:rPr>
              <w:t>9.0%</w:t>
            </w:r>
          </w:p>
        </w:tc>
        <w:tc>
          <w:tcPr>
            <w:tcW w:w="808" w:type="dxa"/>
            <w:vAlign w:val="bottom"/>
          </w:tcPr>
          <w:p w:rsidR="00024B34" w:rsidRPr="00E04A13" w:rsidRDefault="00BB7B60" w:rsidP="00A024BB">
            <w:pPr>
              <w:spacing w:before="40" w:after="40" w:line="240" w:lineRule="auto"/>
              <w:jc w:val="right"/>
              <w:rPr>
                <w:rFonts w:eastAsia="Times New Roman" w:cs="Arial"/>
                <w:sz w:val="20"/>
                <w:szCs w:val="20"/>
                <w:lang w:val="en-GB"/>
              </w:rPr>
            </w:pPr>
            <w:r>
              <w:rPr>
                <w:rFonts w:eastAsia="Times New Roman" w:cs="Arial"/>
                <w:sz w:val="20"/>
                <w:szCs w:val="20"/>
                <w:lang w:val="en-GB"/>
              </w:rPr>
              <w:t>27.2%</w:t>
            </w:r>
          </w:p>
        </w:tc>
        <w:tc>
          <w:tcPr>
            <w:tcW w:w="808" w:type="dxa"/>
            <w:shd w:val="clear" w:color="auto" w:fill="auto"/>
          </w:tcPr>
          <w:p w:rsidR="00024B34" w:rsidRPr="00E04A13" w:rsidRDefault="00BB7B60" w:rsidP="00A024BB">
            <w:pPr>
              <w:spacing w:before="40" w:after="40" w:line="240" w:lineRule="auto"/>
              <w:jc w:val="right"/>
              <w:rPr>
                <w:rFonts w:eastAsia="Times New Roman" w:cs="Arial"/>
                <w:sz w:val="20"/>
                <w:szCs w:val="20"/>
                <w:lang w:val="en-GB"/>
              </w:rPr>
            </w:pPr>
            <w:r>
              <w:rPr>
                <w:rFonts w:eastAsia="Times New Roman" w:cs="Arial"/>
                <w:sz w:val="20"/>
                <w:szCs w:val="20"/>
                <w:lang w:val="en-GB"/>
              </w:rPr>
              <w:t>26.5%</w:t>
            </w:r>
          </w:p>
        </w:tc>
      </w:tr>
      <w:tr w:rsidR="00AF37AC" w:rsidRPr="00E04A13">
        <w:trPr>
          <w:trHeight w:val="255"/>
        </w:trPr>
        <w:tc>
          <w:tcPr>
            <w:tcW w:w="993" w:type="dxa"/>
            <w:shd w:val="clear" w:color="auto" w:fill="auto"/>
            <w:noWrap/>
            <w:vAlign w:val="bottom"/>
          </w:tcPr>
          <w:p w:rsidR="00024B34" w:rsidRPr="00E04A13" w:rsidRDefault="00024B34" w:rsidP="00A024BB">
            <w:pPr>
              <w:spacing w:before="40" w:after="40" w:line="240" w:lineRule="auto"/>
              <w:jc w:val="left"/>
              <w:rPr>
                <w:rFonts w:eastAsia="Times New Roman" w:cs="Arial"/>
                <w:sz w:val="20"/>
                <w:szCs w:val="20"/>
                <w:lang w:val="en-GB"/>
              </w:rPr>
            </w:pPr>
            <w:r w:rsidRPr="00E04A13">
              <w:rPr>
                <w:rFonts w:eastAsia="Times New Roman" w:cs="Arial"/>
                <w:sz w:val="20"/>
                <w:szCs w:val="20"/>
                <w:lang w:val="en-GB"/>
              </w:rPr>
              <w:t>Poland</w:t>
            </w:r>
          </w:p>
        </w:tc>
        <w:tc>
          <w:tcPr>
            <w:tcW w:w="807" w:type="dxa"/>
            <w:shd w:val="clear" w:color="auto" w:fill="auto"/>
            <w:noWrap/>
            <w:vAlign w:val="bottom"/>
          </w:tcPr>
          <w:p w:rsidR="00024B34" w:rsidRPr="00E04A13" w:rsidRDefault="00024B34" w:rsidP="00A024BB">
            <w:pPr>
              <w:spacing w:before="40" w:after="40" w:line="240" w:lineRule="auto"/>
              <w:jc w:val="right"/>
              <w:rPr>
                <w:rFonts w:eastAsia="Times New Roman" w:cs="Arial"/>
                <w:sz w:val="20"/>
                <w:szCs w:val="20"/>
                <w:lang w:val="en-GB"/>
              </w:rPr>
            </w:pPr>
            <w:r w:rsidRPr="00E04A13">
              <w:rPr>
                <w:rFonts w:eastAsia="Times New Roman" w:cs="Arial"/>
                <w:sz w:val="20"/>
                <w:szCs w:val="20"/>
                <w:lang w:val="en-GB"/>
              </w:rPr>
              <w:t>5.1%</w:t>
            </w:r>
          </w:p>
        </w:tc>
        <w:tc>
          <w:tcPr>
            <w:tcW w:w="808" w:type="dxa"/>
          </w:tcPr>
          <w:p w:rsidR="00024B34" w:rsidRPr="00E04A13" w:rsidRDefault="00024B34" w:rsidP="00A024BB">
            <w:pPr>
              <w:spacing w:before="40" w:after="40" w:line="240" w:lineRule="auto"/>
              <w:jc w:val="right"/>
              <w:rPr>
                <w:rFonts w:eastAsia="Times New Roman" w:cs="Arial"/>
                <w:sz w:val="20"/>
                <w:szCs w:val="20"/>
                <w:lang w:val="en-GB"/>
              </w:rPr>
            </w:pPr>
            <w:r w:rsidRPr="00A311A2">
              <w:rPr>
                <w:rFonts w:eastAsia="Times New Roman" w:cs="Arial"/>
                <w:sz w:val="20"/>
                <w:szCs w:val="20"/>
                <w:lang w:val="en-GB"/>
              </w:rPr>
              <w:t>8.4%</w:t>
            </w:r>
          </w:p>
        </w:tc>
        <w:tc>
          <w:tcPr>
            <w:tcW w:w="808" w:type="dxa"/>
            <w:vAlign w:val="bottom"/>
          </w:tcPr>
          <w:p w:rsidR="00024B34" w:rsidRPr="00E04A13" w:rsidRDefault="00024B34" w:rsidP="00A024BB">
            <w:pPr>
              <w:spacing w:before="40" w:after="40" w:line="240" w:lineRule="auto"/>
              <w:jc w:val="right"/>
              <w:rPr>
                <w:rFonts w:eastAsia="Times New Roman" w:cs="Arial"/>
                <w:sz w:val="20"/>
                <w:szCs w:val="20"/>
                <w:lang w:val="en-GB"/>
              </w:rPr>
            </w:pPr>
            <w:r w:rsidRPr="00E04A13">
              <w:rPr>
                <w:rFonts w:eastAsia="Times New Roman" w:cs="Arial"/>
                <w:sz w:val="20"/>
                <w:szCs w:val="20"/>
                <w:lang w:val="en-GB"/>
              </w:rPr>
              <w:t>5.1%</w:t>
            </w:r>
          </w:p>
        </w:tc>
        <w:tc>
          <w:tcPr>
            <w:tcW w:w="808" w:type="dxa"/>
            <w:shd w:val="clear" w:color="auto" w:fill="auto"/>
          </w:tcPr>
          <w:p w:rsidR="00024B34" w:rsidRPr="00E04A13" w:rsidRDefault="00024B34" w:rsidP="00A024BB">
            <w:pPr>
              <w:spacing w:before="40" w:after="40" w:line="240" w:lineRule="auto"/>
              <w:jc w:val="right"/>
              <w:rPr>
                <w:rFonts w:eastAsia="Times New Roman" w:cs="Arial"/>
                <w:sz w:val="20"/>
                <w:szCs w:val="20"/>
                <w:lang w:val="en-GB"/>
              </w:rPr>
            </w:pPr>
            <w:r w:rsidRPr="00A311A2">
              <w:rPr>
                <w:rFonts w:eastAsia="Times New Roman" w:cs="Arial"/>
                <w:sz w:val="20"/>
                <w:szCs w:val="20"/>
                <w:lang w:val="en-GB"/>
              </w:rPr>
              <w:t>5.4%</w:t>
            </w:r>
          </w:p>
        </w:tc>
        <w:tc>
          <w:tcPr>
            <w:tcW w:w="808" w:type="dxa"/>
            <w:vAlign w:val="bottom"/>
          </w:tcPr>
          <w:p w:rsidR="00024B34" w:rsidRPr="00E04A13" w:rsidRDefault="00024B34" w:rsidP="00A024BB">
            <w:pPr>
              <w:spacing w:before="40" w:after="40" w:line="240" w:lineRule="auto"/>
              <w:jc w:val="right"/>
              <w:rPr>
                <w:rFonts w:eastAsia="Times New Roman" w:cs="Arial"/>
                <w:sz w:val="20"/>
                <w:szCs w:val="20"/>
                <w:lang w:val="en-GB"/>
              </w:rPr>
            </w:pPr>
            <w:r w:rsidRPr="00E04A13">
              <w:rPr>
                <w:rFonts w:eastAsia="Times New Roman" w:cs="Arial"/>
                <w:sz w:val="20"/>
                <w:szCs w:val="20"/>
                <w:lang w:val="en-GB"/>
              </w:rPr>
              <w:t>5.7%</w:t>
            </w:r>
          </w:p>
        </w:tc>
        <w:tc>
          <w:tcPr>
            <w:tcW w:w="808" w:type="dxa"/>
          </w:tcPr>
          <w:p w:rsidR="00024B34" w:rsidRPr="00E04A13" w:rsidRDefault="00024B34" w:rsidP="00A024BB">
            <w:pPr>
              <w:spacing w:before="40" w:after="40" w:line="240" w:lineRule="auto"/>
              <w:jc w:val="right"/>
              <w:rPr>
                <w:rFonts w:eastAsia="Times New Roman" w:cs="Arial"/>
                <w:sz w:val="20"/>
                <w:szCs w:val="20"/>
                <w:lang w:val="en-GB"/>
              </w:rPr>
            </w:pPr>
            <w:r w:rsidRPr="00A311A2">
              <w:rPr>
                <w:rFonts w:eastAsia="Times New Roman" w:cs="Arial"/>
                <w:sz w:val="20"/>
                <w:szCs w:val="20"/>
                <w:lang w:val="en-GB"/>
              </w:rPr>
              <w:t>7.9%</w:t>
            </w:r>
          </w:p>
        </w:tc>
        <w:tc>
          <w:tcPr>
            <w:tcW w:w="808" w:type="dxa"/>
            <w:vAlign w:val="bottom"/>
          </w:tcPr>
          <w:p w:rsidR="00024B34" w:rsidRPr="00E04A13" w:rsidRDefault="00024B34" w:rsidP="00A024BB">
            <w:pPr>
              <w:spacing w:before="40" w:after="40" w:line="240" w:lineRule="auto"/>
              <w:jc w:val="right"/>
              <w:rPr>
                <w:rFonts w:eastAsia="Times New Roman" w:cs="Arial"/>
                <w:sz w:val="20"/>
                <w:szCs w:val="20"/>
                <w:lang w:val="en-GB"/>
              </w:rPr>
            </w:pPr>
            <w:r w:rsidRPr="00E04A13">
              <w:rPr>
                <w:rFonts w:eastAsia="Times New Roman" w:cs="Arial"/>
                <w:sz w:val="20"/>
                <w:szCs w:val="20"/>
                <w:lang w:val="en-GB"/>
              </w:rPr>
              <w:t>5.9%</w:t>
            </w:r>
          </w:p>
        </w:tc>
        <w:tc>
          <w:tcPr>
            <w:tcW w:w="808" w:type="dxa"/>
            <w:shd w:val="clear" w:color="auto" w:fill="auto"/>
          </w:tcPr>
          <w:p w:rsidR="00024B34" w:rsidRPr="00E04A13" w:rsidRDefault="00024B34" w:rsidP="00A024BB">
            <w:pPr>
              <w:spacing w:before="40" w:after="40" w:line="240" w:lineRule="auto"/>
              <w:jc w:val="right"/>
              <w:rPr>
                <w:rFonts w:eastAsia="Times New Roman" w:cs="Arial"/>
                <w:sz w:val="20"/>
                <w:szCs w:val="20"/>
                <w:lang w:val="en-GB"/>
              </w:rPr>
            </w:pPr>
            <w:r w:rsidRPr="00A311A2">
              <w:rPr>
                <w:rFonts w:eastAsia="Times New Roman" w:cs="Arial"/>
                <w:sz w:val="20"/>
                <w:szCs w:val="20"/>
                <w:lang w:val="en-GB"/>
              </w:rPr>
              <w:t>4.4%</w:t>
            </w:r>
          </w:p>
        </w:tc>
        <w:tc>
          <w:tcPr>
            <w:tcW w:w="808" w:type="dxa"/>
            <w:vAlign w:val="bottom"/>
          </w:tcPr>
          <w:p w:rsidR="00024B34" w:rsidRPr="00E04A13" w:rsidRDefault="00BB7B60" w:rsidP="00A024BB">
            <w:pPr>
              <w:spacing w:before="40" w:after="40" w:line="240" w:lineRule="auto"/>
              <w:jc w:val="right"/>
              <w:rPr>
                <w:rFonts w:eastAsia="Times New Roman" w:cs="Arial"/>
                <w:sz w:val="20"/>
                <w:szCs w:val="20"/>
                <w:lang w:val="en-GB"/>
              </w:rPr>
            </w:pPr>
            <w:r>
              <w:rPr>
                <w:rFonts w:eastAsia="Times New Roman" w:cs="Arial"/>
                <w:sz w:val="20"/>
                <w:szCs w:val="20"/>
                <w:lang w:val="en-GB"/>
              </w:rPr>
              <w:t>23.6%</w:t>
            </w:r>
          </w:p>
        </w:tc>
        <w:tc>
          <w:tcPr>
            <w:tcW w:w="808" w:type="dxa"/>
            <w:shd w:val="clear" w:color="auto" w:fill="auto"/>
          </w:tcPr>
          <w:p w:rsidR="00024B34" w:rsidRPr="00E04A13" w:rsidRDefault="00BB7B60" w:rsidP="00A024BB">
            <w:pPr>
              <w:spacing w:before="40" w:after="40" w:line="240" w:lineRule="auto"/>
              <w:jc w:val="right"/>
              <w:rPr>
                <w:rFonts w:eastAsia="Times New Roman" w:cs="Arial"/>
                <w:sz w:val="20"/>
                <w:szCs w:val="20"/>
                <w:lang w:val="en-GB"/>
              </w:rPr>
            </w:pPr>
            <w:r>
              <w:rPr>
                <w:rFonts w:eastAsia="Times New Roman" w:cs="Arial"/>
                <w:sz w:val="20"/>
                <w:szCs w:val="20"/>
                <w:lang w:val="en-GB"/>
              </w:rPr>
              <w:t>28.7%</w:t>
            </w:r>
          </w:p>
        </w:tc>
      </w:tr>
      <w:tr w:rsidR="00AF37AC" w:rsidRPr="00E04A13">
        <w:trPr>
          <w:trHeight w:val="255"/>
        </w:trPr>
        <w:tc>
          <w:tcPr>
            <w:tcW w:w="993" w:type="dxa"/>
            <w:shd w:val="clear" w:color="auto" w:fill="auto"/>
            <w:noWrap/>
            <w:vAlign w:val="bottom"/>
          </w:tcPr>
          <w:p w:rsidR="00024B34" w:rsidRPr="00E04A13" w:rsidRDefault="00024B34" w:rsidP="00A024BB">
            <w:pPr>
              <w:spacing w:before="40" w:after="40" w:line="240" w:lineRule="auto"/>
              <w:jc w:val="left"/>
              <w:rPr>
                <w:rFonts w:eastAsia="Times New Roman" w:cs="Arial"/>
                <w:sz w:val="20"/>
                <w:szCs w:val="20"/>
                <w:lang w:val="en-GB"/>
              </w:rPr>
            </w:pPr>
            <w:r w:rsidRPr="00E04A13">
              <w:rPr>
                <w:rFonts w:eastAsia="Times New Roman" w:cs="Arial"/>
                <w:sz w:val="20"/>
                <w:szCs w:val="20"/>
                <w:lang w:val="en-GB"/>
              </w:rPr>
              <w:t>Portugal</w:t>
            </w:r>
          </w:p>
        </w:tc>
        <w:tc>
          <w:tcPr>
            <w:tcW w:w="807" w:type="dxa"/>
            <w:shd w:val="clear" w:color="auto" w:fill="auto"/>
            <w:noWrap/>
            <w:vAlign w:val="bottom"/>
          </w:tcPr>
          <w:p w:rsidR="00024B34" w:rsidRPr="00E04A13" w:rsidRDefault="000639A7" w:rsidP="000639A7">
            <w:pPr>
              <w:spacing w:before="40" w:after="40" w:line="240" w:lineRule="auto"/>
              <w:jc w:val="center"/>
              <w:rPr>
                <w:rFonts w:eastAsia="Times New Roman" w:cs="Arial"/>
                <w:sz w:val="20"/>
                <w:szCs w:val="20"/>
                <w:lang w:val="en-GB"/>
              </w:rPr>
            </w:pPr>
            <w:proofErr w:type="gramStart"/>
            <w:r>
              <w:rPr>
                <w:rFonts w:eastAsia="Times New Roman" w:cs="Arial"/>
                <w:sz w:val="20"/>
                <w:szCs w:val="20"/>
                <w:lang w:val="en-GB"/>
              </w:rPr>
              <w:t>n</w:t>
            </w:r>
            <w:proofErr w:type="gramEnd"/>
            <w:r>
              <w:rPr>
                <w:rFonts w:eastAsia="Times New Roman" w:cs="Arial"/>
                <w:sz w:val="20"/>
                <w:szCs w:val="20"/>
                <w:lang w:val="en-GB"/>
              </w:rPr>
              <w:t>/a</w:t>
            </w:r>
          </w:p>
        </w:tc>
        <w:tc>
          <w:tcPr>
            <w:tcW w:w="808" w:type="dxa"/>
          </w:tcPr>
          <w:p w:rsidR="00024B34" w:rsidRPr="00E04A13" w:rsidRDefault="000639A7" w:rsidP="00A024BB">
            <w:pPr>
              <w:spacing w:before="40" w:after="40" w:line="240" w:lineRule="auto"/>
              <w:jc w:val="right"/>
              <w:rPr>
                <w:rFonts w:eastAsia="Times New Roman" w:cs="Arial"/>
                <w:sz w:val="20"/>
                <w:szCs w:val="20"/>
                <w:lang w:val="en-GB"/>
              </w:rPr>
            </w:pPr>
            <w:r>
              <w:rPr>
                <w:rFonts w:eastAsia="Times New Roman" w:cs="Arial"/>
                <w:sz w:val="20"/>
                <w:szCs w:val="20"/>
                <w:lang w:val="en-GB"/>
              </w:rPr>
              <w:t>1.6%</w:t>
            </w:r>
          </w:p>
        </w:tc>
        <w:tc>
          <w:tcPr>
            <w:tcW w:w="808" w:type="dxa"/>
            <w:vAlign w:val="bottom"/>
          </w:tcPr>
          <w:p w:rsidR="00024B34" w:rsidRPr="00E04A13" w:rsidRDefault="00024B34" w:rsidP="00A024BB">
            <w:pPr>
              <w:spacing w:before="40" w:after="40" w:line="240" w:lineRule="auto"/>
              <w:jc w:val="right"/>
              <w:rPr>
                <w:rFonts w:eastAsia="Times New Roman" w:cs="Arial"/>
                <w:sz w:val="20"/>
                <w:szCs w:val="20"/>
                <w:lang w:val="en-GB"/>
              </w:rPr>
            </w:pPr>
            <w:r w:rsidRPr="00E04A13">
              <w:rPr>
                <w:rFonts w:eastAsia="Times New Roman" w:cs="Arial"/>
                <w:sz w:val="20"/>
                <w:szCs w:val="20"/>
                <w:lang w:val="en-GB"/>
              </w:rPr>
              <w:t>-1.3%</w:t>
            </w:r>
          </w:p>
        </w:tc>
        <w:tc>
          <w:tcPr>
            <w:tcW w:w="808" w:type="dxa"/>
            <w:shd w:val="clear" w:color="auto" w:fill="auto"/>
          </w:tcPr>
          <w:p w:rsidR="00024B34" w:rsidRPr="00E04A13" w:rsidRDefault="00024B34" w:rsidP="00A024BB">
            <w:pPr>
              <w:spacing w:before="40" w:after="40" w:line="240" w:lineRule="auto"/>
              <w:jc w:val="right"/>
              <w:rPr>
                <w:rFonts w:eastAsia="Times New Roman" w:cs="Arial"/>
                <w:sz w:val="20"/>
                <w:szCs w:val="20"/>
                <w:lang w:val="en-GB"/>
              </w:rPr>
            </w:pPr>
            <w:r w:rsidRPr="00A311A2">
              <w:rPr>
                <w:rFonts w:eastAsia="Times New Roman" w:cs="Arial"/>
                <w:sz w:val="20"/>
                <w:szCs w:val="20"/>
                <w:lang w:val="en-GB"/>
              </w:rPr>
              <w:t>-2.0%</w:t>
            </w:r>
          </w:p>
        </w:tc>
        <w:tc>
          <w:tcPr>
            <w:tcW w:w="808" w:type="dxa"/>
            <w:vAlign w:val="bottom"/>
          </w:tcPr>
          <w:p w:rsidR="00024B34" w:rsidRPr="00E04A13" w:rsidRDefault="00024B34" w:rsidP="00A024BB">
            <w:pPr>
              <w:spacing w:before="40" w:after="40" w:line="240" w:lineRule="auto"/>
              <w:jc w:val="right"/>
              <w:rPr>
                <w:rFonts w:eastAsia="Times New Roman" w:cs="Arial"/>
                <w:sz w:val="20"/>
                <w:szCs w:val="20"/>
                <w:lang w:val="en-GB"/>
              </w:rPr>
            </w:pPr>
            <w:r w:rsidRPr="00E04A13">
              <w:rPr>
                <w:rFonts w:eastAsia="Times New Roman" w:cs="Arial"/>
                <w:sz w:val="20"/>
                <w:szCs w:val="20"/>
                <w:lang w:val="en-GB"/>
              </w:rPr>
              <w:t>3.1%</w:t>
            </w:r>
          </w:p>
        </w:tc>
        <w:tc>
          <w:tcPr>
            <w:tcW w:w="808" w:type="dxa"/>
          </w:tcPr>
          <w:p w:rsidR="00024B34" w:rsidRPr="00E04A13" w:rsidRDefault="00024B34" w:rsidP="00A024BB">
            <w:pPr>
              <w:spacing w:before="40" w:after="40" w:line="240" w:lineRule="auto"/>
              <w:jc w:val="right"/>
              <w:rPr>
                <w:rFonts w:eastAsia="Times New Roman" w:cs="Arial"/>
                <w:sz w:val="20"/>
                <w:szCs w:val="20"/>
                <w:lang w:val="en-GB"/>
              </w:rPr>
            </w:pPr>
            <w:r w:rsidRPr="00A311A2">
              <w:rPr>
                <w:rFonts w:eastAsia="Times New Roman" w:cs="Arial"/>
                <w:sz w:val="20"/>
                <w:szCs w:val="20"/>
                <w:lang w:val="en-GB"/>
              </w:rPr>
              <w:t>2.6%</w:t>
            </w:r>
          </w:p>
        </w:tc>
        <w:tc>
          <w:tcPr>
            <w:tcW w:w="808" w:type="dxa"/>
            <w:vAlign w:val="bottom"/>
          </w:tcPr>
          <w:p w:rsidR="00024B34" w:rsidRPr="00E04A13" w:rsidRDefault="00024B34" w:rsidP="00A024BB">
            <w:pPr>
              <w:spacing w:before="40" w:after="40" w:line="240" w:lineRule="auto"/>
              <w:jc w:val="right"/>
              <w:rPr>
                <w:rFonts w:eastAsia="Times New Roman" w:cs="Arial"/>
                <w:sz w:val="20"/>
                <w:szCs w:val="20"/>
                <w:lang w:val="en-GB"/>
              </w:rPr>
            </w:pPr>
            <w:r w:rsidRPr="00E04A13">
              <w:rPr>
                <w:rFonts w:eastAsia="Times New Roman" w:cs="Arial"/>
                <w:sz w:val="20"/>
                <w:szCs w:val="20"/>
                <w:lang w:val="en-GB"/>
              </w:rPr>
              <w:t>3.1%</w:t>
            </w:r>
          </w:p>
        </w:tc>
        <w:tc>
          <w:tcPr>
            <w:tcW w:w="808" w:type="dxa"/>
            <w:shd w:val="clear" w:color="auto" w:fill="auto"/>
          </w:tcPr>
          <w:p w:rsidR="00024B34" w:rsidRPr="00E04A13" w:rsidRDefault="00024B34" w:rsidP="00A024BB">
            <w:pPr>
              <w:spacing w:before="40" w:after="40" w:line="240" w:lineRule="auto"/>
              <w:jc w:val="right"/>
              <w:rPr>
                <w:rFonts w:eastAsia="Times New Roman" w:cs="Arial"/>
                <w:sz w:val="20"/>
                <w:szCs w:val="20"/>
                <w:lang w:val="en-GB"/>
              </w:rPr>
            </w:pPr>
            <w:r w:rsidRPr="00A311A2">
              <w:rPr>
                <w:rFonts w:eastAsia="Times New Roman" w:cs="Arial"/>
                <w:sz w:val="20"/>
                <w:szCs w:val="20"/>
                <w:lang w:val="en-GB"/>
              </w:rPr>
              <w:t>-1.0%</w:t>
            </w:r>
          </w:p>
        </w:tc>
        <w:tc>
          <w:tcPr>
            <w:tcW w:w="808" w:type="dxa"/>
            <w:vAlign w:val="bottom"/>
          </w:tcPr>
          <w:p w:rsidR="00024B34" w:rsidRPr="00E04A13" w:rsidRDefault="00BB7B60" w:rsidP="00A024BB">
            <w:pPr>
              <w:spacing w:before="40" w:after="40" w:line="240" w:lineRule="auto"/>
              <w:jc w:val="right"/>
              <w:rPr>
                <w:rFonts w:eastAsia="Times New Roman" w:cs="Arial"/>
                <w:sz w:val="20"/>
                <w:szCs w:val="20"/>
                <w:lang w:val="en-GB"/>
              </w:rPr>
            </w:pPr>
            <w:r>
              <w:rPr>
                <w:rFonts w:eastAsia="Times New Roman" w:cs="Arial"/>
                <w:sz w:val="20"/>
                <w:szCs w:val="20"/>
                <w:lang w:val="en-GB"/>
              </w:rPr>
              <w:t>4.9%</w:t>
            </w:r>
          </w:p>
        </w:tc>
        <w:tc>
          <w:tcPr>
            <w:tcW w:w="808" w:type="dxa"/>
            <w:shd w:val="clear" w:color="auto" w:fill="auto"/>
          </w:tcPr>
          <w:p w:rsidR="00024B34" w:rsidRPr="00E04A13" w:rsidRDefault="000639A7" w:rsidP="000639A7">
            <w:pPr>
              <w:spacing w:before="40" w:after="40" w:line="240" w:lineRule="auto"/>
              <w:jc w:val="right"/>
              <w:rPr>
                <w:rFonts w:eastAsia="Times New Roman" w:cs="Arial"/>
                <w:sz w:val="20"/>
                <w:szCs w:val="20"/>
                <w:lang w:val="en-GB"/>
              </w:rPr>
            </w:pPr>
            <w:r>
              <w:rPr>
                <w:rFonts w:eastAsia="Times New Roman" w:cs="Arial"/>
                <w:sz w:val="20"/>
                <w:szCs w:val="20"/>
                <w:lang w:val="en-GB"/>
              </w:rPr>
              <w:t>1.1</w:t>
            </w:r>
            <w:r w:rsidR="00BB7B60">
              <w:rPr>
                <w:rFonts w:eastAsia="Times New Roman" w:cs="Arial"/>
                <w:sz w:val="20"/>
                <w:szCs w:val="20"/>
                <w:lang w:val="en-GB"/>
              </w:rPr>
              <w:t>%</w:t>
            </w:r>
          </w:p>
        </w:tc>
      </w:tr>
      <w:tr w:rsidR="00AF37AC" w:rsidRPr="00E04A13">
        <w:trPr>
          <w:trHeight w:val="255"/>
        </w:trPr>
        <w:tc>
          <w:tcPr>
            <w:tcW w:w="993" w:type="dxa"/>
            <w:shd w:val="clear" w:color="auto" w:fill="auto"/>
            <w:noWrap/>
            <w:vAlign w:val="bottom"/>
          </w:tcPr>
          <w:p w:rsidR="00024B34" w:rsidRPr="00E04A13" w:rsidRDefault="00024B34" w:rsidP="00A024BB">
            <w:pPr>
              <w:spacing w:before="40" w:after="40" w:line="240" w:lineRule="auto"/>
              <w:jc w:val="left"/>
              <w:rPr>
                <w:rFonts w:eastAsia="Times New Roman" w:cs="Arial"/>
                <w:sz w:val="20"/>
                <w:szCs w:val="20"/>
                <w:lang w:val="en-GB"/>
              </w:rPr>
            </w:pPr>
            <w:r w:rsidRPr="00E04A13">
              <w:rPr>
                <w:rFonts w:eastAsia="Times New Roman" w:cs="Arial"/>
                <w:sz w:val="20"/>
                <w:szCs w:val="20"/>
                <w:lang w:val="en-GB"/>
              </w:rPr>
              <w:t>UK</w:t>
            </w:r>
          </w:p>
        </w:tc>
        <w:tc>
          <w:tcPr>
            <w:tcW w:w="807" w:type="dxa"/>
            <w:shd w:val="clear" w:color="auto" w:fill="auto"/>
            <w:noWrap/>
            <w:vAlign w:val="bottom"/>
          </w:tcPr>
          <w:p w:rsidR="00024B34" w:rsidRPr="00E04A13" w:rsidRDefault="00024B34" w:rsidP="00A024BB">
            <w:pPr>
              <w:spacing w:before="40" w:after="40" w:line="240" w:lineRule="auto"/>
              <w:jc w:val="right"/>
              <w:rPr>
                <w:rFonts w:eastAsia="Times New Roman" w:cs="Arial"/>
                <w:sz w:val="20"/>
                <w:szCs w:val="20"/>
                <w:lang w:val="en-GB"/>
              </w:rPr>
            </w:pPr>
            <w:r w:rsidRPr="00E04A13">
              <w:rPr>
                <w:rFonts w:eastAsia="Times New Roman" w:cs="Arial"/>
                <w:sz w:val="20"/>
                <w:szCs w:val="20"/>
                <w:lang w:val="en-GB"/>
              </w:rPr>
              <w:t>4.3%</w:t>
            </w:r>
          </w:p>
        </w:tc>
        <w:tc>
          <w:tcPr>
            <w:tcW w:w="808" w:type="dxa"/>
          </w:tcPr>
          <w:p w:rsidR="00024B34" w:rsidRPr="00E04A13" w:rsidRDefault="00024B34" w:rsidP="00A024BB">
            <w:pPr>
              <w:spacing w:before="40" w:after="40" w:line="240" w:lineRule="auto"/>
              <w:jc w:val="right"/>
              <w:rPr>
                <w:rFonts w:eastAsia="Times New Roman" w:cs="Arial"/>
                <w:sz w:val="20"/>
                <w:szCs w:val="20"/>
                <w:lang w:val="en-GB"/>
              </w:rPr>
            </w:pPr>
            <w:r w:rsidRPr="00A311A2">
              <w:rPr>
                <w:rFonts w:eastAsia="Times New Roman" w:cs="Arial"/>
                <w:sz w:val="20"/>
                <w:szCs w:val="20"/>
                <w:lang w:val="en-GB"/>
              </w:rPr>
              <w:t>2.4%</w:t>
            </w:r>
          </w:p>
        </w:tc>
        <w:tc>
          <w:tcPr>
            <w:tcW w:w="808" w:type="dxa"/>
            <w:vAlign w:val="bottom"/>
          </w:tcPr>
          <w:p w:rsidR="00024B34" w:rsidRPr="00E04A13" w:rsidRDefault="00024B34" w:rsidP="00A024BB">
            <w:pPr>
              <w:spacing w:before="40" w:after="40" w:line="240" w:lineRule="auto"/>
              <w:jc w:val="right"/>
              <w:rPr>
                <w:rFonts w:eastAsia="Times New Roman" w:cs="Arial"/>
                <w:sz w:val="20"/>
                <w:szCs w:val="20"/>
                <w:lang w:val="en-GB"/>
              </w:rPr>
            </w:pPr>
            <w:r w:rsidRPr="00E04A13">
              <w:rPr>
                <w:rFonts w:eastAsia="Times New Roman" w:cs="Arial"/>
                <w:sz w:val="20"/>
                <w:szCs w:val="20"/>
                <w:lang w:val="en-GB"/>
              </w:rPr>
              <w:t>4.3%</w:t>
            </w:r>
          </w:p>
        </w:tc>
        <w:tc>
          <w:tcPr>
            <w:tcW w:w="808" w:type="dxa"/>
            <w:shd w:val="clear" w:color="auto" w:fill="auto"/>
          </w:tcPr>
          <w:p w:rsidR="00024B34" w:rsidRPr="00E04A13" w:rsidRDefault="00024B34" w:rsidP="00A024BB">
            <w:pPr>
              <w:spacing w:before="40" w:after="40" w:line="240" w:lineRule="auto"/>
              <w:jc w:val="right"/>
              <w:rPr>
                <w:rFonts w:eastAsia="Times New Roman" w:cs="Arial"/>
                <w:sz w:val="20"/>
                <w:szCs w:val="20"/>
                <w:lang w:val="en-GB"/>
              </w:rPr>
            </w:pPr>
            <w:r w:rsidRPr="00A311A2">
              <w:rPr>
                <w:rFonts w:eastAsia="Times New Roman" w:cs="Arial"/>
                <w:sz w:val="20"/>
                <w:szCs w:val="20"/>
                <w:lang w:val="en-GB"/>
              </w:rPr>
              <w:t>-3.1%</w:t>
            </w:r>
          </w:p>
        </w:tc>
        <w:tc>
          <w:tcPr>
            <w:tcW w:w="808" w:type="dxa"/>
            <w:vAlign w:val="bottom"/>
          </w:tcPr>
          <w:p w:rsidR="00024B34" w:rsidRPr="00E04A13" w:rsidRDefault="00024B34" w:rsidP="00A024BB">
            <w:pPr>
              <w:spacing w:before="40" w:after="40" w:line="240" w:lineRule="auto"/>
              <w:jc w:val="right"/>
              <w:rPr>
                <w:rFonts w:eastAsia="Times New Roman" w:cs="Arial"/>
                <w:sz w:val="20"/>
                <w:szCs w:val="20"/>
                <w:lang w:val="en-GB"/>
              </w:rPr>
            </w:pPr>
            <w:r w:rsidRPr="00E04A13">
              <w:rPr>
                <w:rFonts w:eastAsia="Times New Roman" w:cs="Arial"/>
                <w:sz w:val="20"/>
                <w:szCs w:val="20"/>
                <w:lang w:val="en-GB"/>
              </w:rPr>
              <w:t>4.7%</w:t>
            </w:r>
          </w:p>
        </w:tc>
        <w:tc>
          <w:tcPr>
            <w:tcW w:w="808" w:type="dxa"/>
          </w:tcPr>
          <w:p w:rsidR="00024B34" w:rsidRPr="00E04A13" w:rsidRDefault="00024B34" w:rsidP="00A024BB">
            <w:pPr>
              <w:spacing w:before="40" w:after="40" w:line="240" w:lineRule="auto"/>
              <w:jc w:val="right"/>
              <w:rPr>
                <w:rFonts w:eastAsia="Times New Roman" w:cs="Arial"/>
                <w:sz w:val="20"/>
                <w:szCs w:val="20"/>
                <w:lang w:val="en-GB"/>
              </w:rPr>
            </w:pPr>
            <w:r w:rsidRPr="00A311A2">
              <w:rPr>
                <w:rFonts w:eastAsia="Times New Roman" w:cs="Arial"/>
                <w:sz w:val="20"/>
                <w:szCs w:val="20"/>
                <w:lang w:val="en-GB"/>
              </w:rPr>
              <w:t>4.8%</w:t>
            </w:r>
          </w:p>
        </w:tc>
        <w:tc>
          <w:tcPr>
            <w:tcW w:w="808" w:type="dxa"/>
            <w:vAlign w:val="bottom"/>
          </w:tcPr>
          <w:p w:rsidR="00024B34" w:rsidRPr="00E04A13" w:rsidRDefault="00024B34" w:rsidP="00A024BB">
            <w:pPr>
              <w:spacing w:before="40" w:after="40" w:line="240" w:lineRule="auto"/>
              <w:jc w:val="right"/>
              <w:rPr>
                <w:rFonts w:eastAsia="Times New Roman" w:cs="Arial"/>
                <w:sz w:val="20"/>
                <w:szCs w:val="20"/>
                <w:lang w:val="en-GB"/>
              </w:rPr>
            </w:pPr>
            <w:r w:rsidRPr="00E04A13">
              <w:rPr>
                <w:rFonts w:eastAsia="Times New Roman" w:cs="Arial"/>
                <w:sz w:val="20"/>
                <w:szCs w:val="20"/>
                <w:lang w:val="en-GB"/>
              </w:rPr>
              <w:t>4.8%</w:t>
            </w:r>
          </w:p>
        </w:tc>
        <w:tc>
          <w:tcPr>
            <w:tcW w:w="808" w:type="dxa"/>
            <w:shd w:val="clear" w:color="auto" w:fill="auto"/>
          </w:tcPr>
          <w:p w:rsidR="00024B34" w:rsidRPr="00E04A13" w:rsidRDefault="00024B34" w:rsidP="00A024BB">
            <w:pPr>
              <w:spacing w:before="40" w:after="40" w:line="240" w:lineRule="auto"/>
              <w:jc w:val="right"/>
              <w:rPr>
                <w:rFonts w:eastAsia="Times New Roman" w:cs="Arial"/>
                <w:sz w:val="20"/>
                <w:szCs w:val="20"/>
                <w:lang w:val="en-GB"/>
              </w:rPr>
            </w:pPr>
            <w:r w:rsidRPr="00A311A2">
              <w:rPr>
                <w:rFonts w:eastAsia="Times New Roman" w:cs="Arial"/>
                <w:sz w:val="20"/>
                <w:szCs w:val="20"/>
                <w:lang w:val="en-GB"/>
              </w:rPr>
              <w:t>3.5%</w:t>
            </w:r>
          </w:p>
        </w:tc>
        <w:tc>
          <w:tcPr>
            <w:tcW w:w="808" w:type="dxa"/>
            <w:vAlign w:val="bottom"/>
          </w:tcPr>
          <w:p w:rsidR="00024B34" w:rsidRPr="00E04A13" w:rsidRDefault="00BB7B60" w:rsidP="00A024BB">
            <w:pPr>
              <w:spacing w:before="40" w:after="40" w:line="240" w:lineRule="auto"/>
              <w:jc w:val="right"/>
              <w:rPr>
                <w:rFonts w:eastAsia="Times New Roman" w:cs="Arial"/>
                <w:sz w:val="20"/>
                <w:szCs w:val="20"/>
                <w:lang w:val="en-GB"/>
              </w:rPr>
            </w:pPr>
            <w:r>
              <w:rPr>
                <w:rFonts w:eastAsia="Times New Roman" w:cs="Arial"/>
                <w:sz w:val="20"/>
                <w:szCs w:val="20"/>
                <w:lang w:val="en-GB"/>
              </w:rPr>
              <w:t>19.4%</w:t>
            </w:r>
          </w:p>
        </w:tc>
        <w:tc>
          <w:tcPr>
            <w:tcW w:w="808" w:type="dxa"/>
            <w:shd w:val="clear" w:color="auto" w:fill="auto"/>
          </w:tcPr>
          <w:p w:rsidR="00024B34" w:rsidRPr="00E04A13" w:rsidRDefault="00BB7B60" w:rsidP="00A024BB">
            <w:pPr>
              <w:spacing w:before="40" w:after="40" w:line="240" w:lineRule="auto"/>
              <w:jc w:val="right"/>
              <w:rPr>
                <w:rFonts w:eastAsia="Times New Roman" w:cs="Arial"/>
                <w:sz w:val="20"/>
                <w:szCs w:val="20"/>
                <w:lang w:val="en-GB"/>
              </w:rPr>
            </w:pPr>
            <w:r>
              <w:rPr>
                <w:rFonts w:eastAsia="Times New Roman" w:cs="Arial"/>
                <w:sz w:val="20"/>
                <w:szCs w:val="20"/>
                <w:lang w:val="en-GB"/>
              </w:rPr>
              <w:t>7.6%</w:t>
            </w:r>
          </w:p>
        </w:tc>
      </w:tr>
      <w:tr w:rsidR="00AF37AC" w:rsidRPr="00E04A13">
        <w:trPr>
          <w:trHeight w:val="255"/>
        </w:trPr>
        <w:tc>
          <w:tcPr>
            <w:tcW w:w="993" w:type="dxa"/>
            <w:shd w:val="clear" w:color="auto" w:fill="auto"/>
            <w:noWrap/>
            <w:vAlign w:val="bottom"/>
          </w:tcPr>
          <w:p w:rsidR="00024B34" w:rsidRPr="00E04A13" w:rsidRDefault="00024B34" w:rsidP="00A024BB">
            <w:pPr>
              <w:spacing w:before="40" w:after="40" w:line="240" w:lineRule="auto"/>
              <w:jc w:val="left"/>
              <w:rPr>
                <w:rFonts w:eastAsia="Times New Roman" w:cs="Arial"/>
                <w:sz w:val="20"/>
                <w:szCs w:val="20"/>
                <w:lang w:val="en-GB"/>
              </w:rPr>
            </w:pPr>
            <w:r w:rsidRPr="00E04A13">
              <w:rPr>
                <w:rFonts w:eastAsia="Times New Roman" w:cs="Arial"/>
                <w:sz w:val="20"/>
                <w:szCs w:val="20"/>
                <w:lang w:val="en-GB"/>
              </w:rPr>
              <w:t>US</w:t>
            </w:r>
          </w:p>
        </w:tc>
        <w:tc>
          <w:tcPr>
            <w:tcW w:w="807" w:type="dxa"/>
            <w:shd w:val="clear" w:color="auto" w:fill="auto"/>
            <w:noWrap/>
            <w:vAlign w:val="bottom"/>
          </w:tcPr>
          <w:p w:rsidR="00024B34" w:rsidRPr="00E04A13" w:rsidRDefault="00024B34" w:rsidP="00A024BB">
            <w:pPr>
              <w:spacing w:before="40" w:after="40" w:line="240" w:lineRule="auto"/>
              <w:jc w:val="right"/>
              <w:rPr>
                <w:rFonts w:eastAsia="Times New Roman" w:cs="Arial"/>
                <w:sz w:val="20"/>
                <w:szCs w:val="20"/>
                <w:lang w:val="en-GB"/>
              </w:rPr>
            </w:pPr>
            <w:r w:rsidRPr="00E04A13">
              <w:rPr>
                <w:rFonts w:eastAsia="Times New Roman" w:cs="Arial"/>
                <w:sz w:val="20"/>
                <w:szCs w:val="20"/>
                <w:lang w:val="en-GB"/>
              </w:rPr>
              <w:t>0.8%</w:t>
            </w:r>
          </w:p>
        </w:tc>
        <w:tc>
          <w:tcPr>
            <w:tcW w:w="808" w:type="dxa"/>
          </w:tcPr>
          <w:p w:rsidR="00024B34" w:rsidRPr="00E04A13" w:rsidRDefault="00024B34" w:rsidP="00A024BB">
            <w:pPr>
              <w:spacing w:before="40" w:after="40" w:line="240" w:lineRule="auto"/>
              <w:jc w:val="right"/>
              <w:rPr>
                <w:rFonts w:eastAsia="Times New Roman" w:cs="Arial"/>
                <w:sz w:val="20"/>
                <w:szCs w:val="20"/>
                <w:lang w:val="en-GB"/>
              </w:rPr>
            </w:pPr>
            <w:r w:rsidRPr="00A311A2">
              <w:rPr>
                <w:rFonts w:eastAsia="Times New Roman" w:cs="Arial"/>
                <w:sz w:val="20"/>
                <w:szCs w:val="20"/>
                <w:lang w:val="en-GB"/>
              </w:rPr>
              <w:t>1.7%</w:t>
            </w:r>
          </w:p>
        </w:tc>
        <w:tc>
          <w:tcPr>
            <w:tcW w:w="808" w:type="dxa"/>
            <w:vAlign w:val="bottom"/>
          </w:tcPr>
          <w:p w:rsidR="00024B34" w:rsidRPr="00E04A13" w:rsidRDefault="00024B34" w:rsidP="00A024BB">
            <w:pPr>
              <w:spacing w:before="40" w:after="40" w:line="240" w:lineRule="auto"/>
              <w:jc w:val="right"/>
              <w:rPr>
                <w:rFonts w:eastAsia="Times New Roman" w:cs="Arial"/>
                <w:sz w:val="20"/>
                <w:szCs w:val="20"/>
                <w:lang w:val="en-GB"/>
              </w:rPr>
            </w:pPr>
            <w:r w:rsidRPr="00E04A13">
              <w:rPr>
                <w:rFonts w:eastAsia="Times New Roman" w:cs="Arial"/>
                <w:sz w:val="20"/>
                <w:szCs w:val="20"/>
                <w:lang w:val="en-GB"/>
              </w:rPr>
              <w:t>-0.5%</w:t>
            </w:r>
          </w:p>
        </w:tc>
        <w:tc>
          <w:tcPr>
            <w:tcW w:w="808" w:type="dxa"/>
            <w:shd w:val="clear" w:color="auto" w:fill="auto"/>
          </w:tcPr>
          <w:p w:rsidR="00024B34" w:rsidRPr="00E04A13" w:rsidRDefault="00024B34" w:rsidP="00A024BB">
            <w:pPr>
              <w:spacing w:before="40" w:after="40" w:line="240" w:lineRule="auto"/>
              <w:jc w:val="right"/>
              <w:rPr>
                <w:rFonts w:eastAsia="Times New Roman" w:cs="Arial"/>
                <w:sz w:val="20"/>
                <w:szCs w:val="20"/>
                <w:lang w:val="en-GB"/>
              </w:rPr>
            </w:pPr>
            <w:r w:rsidRPr="00A311A2">
              <w:rPr>
                <w:rFonts w:eastAsia="Times New Roman" w:cs="Arial"/>
                <w:sz w:val="20"/>
                <w:szCs w:val="20"/>
                <w:lang w:val="en-GB"/>
              </w:rPr>
              <w:t>-2.1%</w:t>
            </w:r>
          </w:p>
        </w:tc>
        <w:tc>
          <w:tcPr>
            <w:tcW w:w="808" w:type="dxa"/>
            <w:vAlign w:val="bottom"/>
          </w:tcPr>
          <w:p w:rsidR="00024B34" w:rsidRPr="00E04A13" w:rsidRDefault="00024B34" w:rsidP="00A024BB">
            <w:pPr>
              <w:spacing w:before="40" w:after="40" w:line="240" w:lineRule="auto"/>
              <w:jc w:val="right"/>
              <w:rPr>
                <w:rFonts w:eastAsia="Times New Roman" w:cs="Arial"/>
                <w:sz w:val="20"/>
                <w:szCs w:val="20"/>
                <w:lang w:val="en-GB"/>
              </w:rPr>
            </w:pPr>
            <w:r w:rsidRPr="00E04A13">
              <w:rPr>
                <w:rFonts w:eastAsia="Times New Roman" w:cs="Arial"/>
                <w:sz w:val="20"/>
                <w:szCs w:val="20"/>
                <w:lang w:val="en-GB"/>
              </w:rPr>
              <w:t>2.5%</w:t>
            </w:r>
          </w:p>
        </w:tc>
        <w:tc>
          <w:tcPr>
            <w:tcW w:w="808" w:type="dxa"/>
          </w:tcPr>
          <w:p w:rsidR="00024B34" w:rsidRPr="00E04A13" w:rsidRDefault="00024B34" w:rsidP="00A024BB">
            <w:pPr>
              <w:spacing w:before="40" w:after="40" w:line="240" w:lineRule="auto"/>
              <w:jc w:val="right"/>
              <w:rPr>
                <w:rFonts w:eastAsia="Times New Roman" w:cs="Arial"/>
                <w:sz w:val="20"/>
                <w:szCs w:val="20"/>
                <w:lang w:val="en-GB"/>
              </w:rPr>
            </w:pPr>
            <w:r w:rsidRPr="00A311A2">
              <w:rPr>
                <w:rFonts w:eastAsia="Times New Roman" w:cs="Arial"/>
                <w:sz w:val="20"/>
                <w:szCs w:val="20"/>
                <w:lang w:val="en-GB"/>
              </w:rPr>
              <w:t>3.7%</w:t>
            </w:r>
          </w:p>
        </w:tc>
        <w:tc>
          <w:tcPr>
            <w:tcW w:w="808" w:type="dxa"/>
            <w:vAlign w:val="bottom"/>
          </w:tcPr>
          <w:p w:rsidR="00024B34" w:rsidRPr="00E04A13" w:rsidRDefault="00024B34" w:rsidP="00A024BB">
            <w:pPr>
              <w:spacing w:before="40" w:after="40" w:line="240" w:lineRule="auto"/>
              <w:jc w:val="right"/>
              <w:rPr>
                <w:rFonts w:eastAsia="Times New Roman" w:cs="Arial"/>
                <w:sz w:val="20"/>
                <w:szCs w:val="20"/>
                <w:lang w:val="en-GB"/>
              </w:rPr>
            </w:pPr>
            <w:r w:rsidRPr="00E04A13">
              <w:rPr>
                <w:rFonts w:eastAsia="Times New Roman" w:cs="Arial"/>
                <w:sz w:val="20"/>
                <w:szCs w:val="20"/>
                <w:lang w:val="en-GB"/>
              </w:rPr>
              <w:t>2.5%</w:t>
            </w:r>
          </w:p>
        </w:tc>
        <w:tc>
          <w:tcPr>
            <w:tcW w:w="808" w:type="dxa"/>
            <w:shd w:val="clear" w:color="auto" w:fill="auto"/>
          </w:tcPr>
          <w:p w:rsidR="00024B34" w:rsidRPr="00E04A13" w:rsidRDefault="00024B34" w:rsidP="00A024BB">
            <w:pPr>
              <w:spacing w:before="40" w:after="40" w:line="240" w:lineRule="auto"/>
              <w:jc w:val="right"/>
              <w:rPr>
                <w:rFonts w:eastAsia="Times New Roman" w:cs="Arial"/>
                <w:sz w:val="20"/>
                <w:szCs w:val="20"/>
                <w:lang w:val="en-GB"/>
              </w:rPr>
            </w:pPr>
            <w:r w:rsidRPr="00A311A2">
              <w:rPr>
                <w:rFonts w:eastAsia="Times New Roman" w:cs="Arial"/>
                <w:sz w:val="20"/>
                <w:szCs w:val="20"/>
                <w:lang w:val="en-GB"/>
              </w:rPr>
              <w:t>3.8%</w:t>
            </w:r>
          </w:p>
        </w:tc>
        <w:tc>
          <w:tcPr>
            <w:tcW w:w="808" w:type="dxa"/>
            <w:vAlign w:val="bottom"/>
          </w:tcPr>
          <w:p w:rsidR="00024B34" w:rsidRPr="00E04A13" w:rsidRDefault="00BB7B60" w:rsidP="00A024BB">
            <w:pPr>
              <w:spacing w:before="40" w:after="40" w:line="240" w:lineRule="auto"/>
              <w:jc w:val="right"/>
              <w:rPr>
                <w:rFonts w:eastAsia="Times New Roman" w:cs="Arial"/>
                <w:sz w:val="20"/>
                <w:szCs w:val="20"/>
                <w:lang w:val="en-GB"/>
              </w:rPr>
            </w:pPr>
            <w:r>
              <w:rPr>
                <w:rFonts w:eastAsia="Times New Roman" w:cs="Arial"/>
                <w:sz w:val="20"/>
                <w:szCs w:val="20"/>
                <w:lang w:val="en-GB"/>
              </w:rPr>
              <w:t>5.4%</w:t>
            </w:r>
          </w:p>
        </w:tc>
        <w:tc>
          <w:tcPr>
            <w:tcW w:w="808" w:type="dxa"/>
            <w:shd w:val="clear" w:color="auto" w:fill="auto"/>
          </w:tcPr>
          <w:p w:rsidR="00024B34" w:rsidRPr="00E04A13" w:rsidRDefault="00BB7B60" w:rsidP="00A024BB">
            <w:pPr>
              <w:spacing w:before="40" w:after="40" w:line="240" w:lineRule="auto"/>
              <w:jc w:val="right"/>
              <w:rPr>
                <w:rFonts w:eastAsia="Times New Roman" w:cs="Arial"/>
                <w:sz w:val="20"/>
                <w:szCs w:val="20"/>
                <w:lang w:val="en-GB"/>
              </w:rPr>
            </w:pPr>
            <w:r>
              <w:rPr>
                <w:rFonts w:eastAsia="Times New Roman" w:cs="Arial"/>
                <w:sz w:val="20"/>
                <w:szCs w:val="20"/>
                <w:lang w:val="en-GB"/>
              </w:rPr>
              <w:t>7.2%</w:t>
            </w:r>
          </w:p>
        </w:tc>
      </w:tr>
      <w:tr w:rsidR="00AF37AC" w:rsidRPr="00E04A13">
        <w:trPr>
          <w:trHeight w:val="255"/>
        </w:trPr>
        <w:tc>
          <w:tcPr>
            <w:tcW w:w="993" w:type="dxa"/>
            <w:shd w:val="clear" w:color="auto" w:fill="auto"/>
            <w:noWrap/>
            <w:vAlign w:val="bottom"/>
          </w:tcPr>
          <w:p w:rsidR="00024B34" w:rsidRPr="00AF37AC" w:rsidRDefault="00AF37AC" w:rsidP="00A024BB">
            <w:pPr>
              <w:spacing w:before="40" w:after="40" w:line="240" w:lineRule="auto"/>
              <w:jc w:val="left"/>
              <w:rPr>
                <w:rFonts w:eastAsia="Times New Roman" w:cs="Arial"/>
                <w:b/>
                <w:bCs/>
                <w:sz w:val="20"/>
                <w:szCs w:val="20"/>
                <w:lang w:val="en-GB"/>
              </w:rPr>
            </w:pPr>
            <w:r>
              <w:rPr>
                <w:rFonts w:eastAsia="Times New Roman" w:cs="Arial"/>
                <w:b/>
                <w:bCs/>
                <w:sz w:val="20"/>
                <w:szCs w:val="20"/>
                <w:lang w:val="en-GB"/>
              </w:rPr>
              <w:t>World</w:t>
            </w:r>
          </w:p>
        </w:tc>
        <w:tc>
          <w:tcPr>
            <w:tcW w:w="807" w:type="dxa"/>
            <w:shd w:val="clear" w:color="auto" w:fill="auto"/>
            <w:noWrap/>
            <w:vAlign w:val="bottom"/>
          </w:tcPr>
          <w:p w:rsidR="00024B34" w:rsidRPr="00E04A13" w:rsidRDefault="00024B34" w:rsidP="00A024BB">
            <w:pPr>
              <w:spacing w:before="40" w:after="40" w:line="240" w:lineRule="auto"/>
              <w:jc w:val="right"/>
              <w:rPr>
                <w:rFonts w:eastAsia="Times New Roman" w:cs="Arial"/>
                <w:b/>
                <w:sz w:val="20"/>
                <w:szCs w:val="20"/>
                <w:lang w:val="en-GB"/>
              </w:rPr>
            </w:pPr>
            <w:r w:rsidRPr="00E04A13">
              <w:rPr>
                <w:rFonts w:eastAsia="Times New Roman" w:cs="Arial"/>
                <w:b/>
                <w:sz w:val="20"/>
                <w:szCs w:val="20"/>
                <w:lang w:val="en-GB"/>
              </w:rPr>
              <w:t>3.1%</w:t>
            </w:r>
          </w:p>
        </w:tc>
        <w:tc>
          <w:tcPr>
            <w:tcW w:w="808" w:type="dxa"/>
          </w:tcPr>
          <w:p w:rsidR="00024B34" w:rsidRPr="00E04A13" w:rsidRDefault="00024B34" w:rsidP="00A024BB">
            <w:pPr>
              <w:spacing w:before="40" w:after="40" w:line="240" w:lineRule="auto"/>
              <w:jc w:val="right"/>
              <w:rPr>
                <w:rFonts w:eastAsia="Times New Roman" w:cs="Arial"/>
                <w:b/>
                <w:sz w:val="20"/>
                <w:szCs w:val="20"/>
                <w:lang w:val="en-GB"/>
              </w:rPr>
            </w:pPr>
          </w:p>
        </w:tc>
        <w:tc>
          <w:tcPr>
            <w:tcW w:w="808" w:type="dxa"/>
            <w:vAlign w:val="bottom"/>
          </w:tcPr>
          <w:p w:rsidR="00024B34" w:rsidRPr="00E04A13" w:rsidRDefault="00024B34" w:rsidP="00A024BB">
            <w:pPr>
              <w:spacing w:before="40" w:after="40" w:line="240" w:lineRule="auto"/>
              <w:jc w:val="right"/>
              <w:rPr>
                <w:rFonts w:eastAsia="Times New Roman" w:cs="Arial"/>
                <w:b/>
                <w:sz w:val="20"/>
                <w:szCs w:val="20"/>
                <w:lang w:val="en-GB"/>
              </w:rPr>
            </w:pPr>
            <w:r w:rsidRPr="00E04A13">
              <w:rPr>
                <w:rFonts w:eastAsia="Times New Roman" w:cs="Arial"/>
                <w:b/>
                <w:sz w:val="20"/>
                <w:szCs w:val="20"/>
                <w:lang w:val="en-GB"/>
              </w:rPr>
              <w:t>1.8%</w:t>
            </w:r>
          </w:p>
        </w:tc>
        <w:tc>
          <w:tcPr>
            <w:tcW w:w="808" w:type="dxa"/>
            <w:shd w:val="clear" w:color="auto" w:fill="auto"/>
          </w:tcPr>
          <w:p w:rsidR="00024B34" w:rsidRPr="00E04A13" w:rsidRDefault="00024B34" w:rsidP="00A024BB">
            <w:pPr>
              <w:spacing w:before="40" w:after="40" w:line="240" w:lineRule="auto"/>
              <w:jc w:val="right"/>
              <w:rPr>
                <w:rFonts w:eastAsia="Times New Roman" w:cs="Arial"/>
                <w:b/>
                <w:sz w:val="20"/>
                <w:szCs w:val="20"/>
                <w:lang w:val="en-GB"/>
              </w:rPr>
            </w:pPr>
          </w:p>
        </w:tc>
        <w:tc>
          <w:tcPr>
            <w:tcW w:w="808" w:type="dxa"/>
            <w:vAlign w:val="bottom"/>
          </w:tcPr>
          <w:p w:rsidR="00024B34" w:rsidRPr="00E04A13" w:rsidRDefault="00024B34" w:rsidP="00A024BB">
            <w:pPr>
              <w:spacing w:before="40" w:after="40" w:line="240" w:lineRule="auto"/>
              <w:jc w:val="right"/>
              <w:rPr>
                <w:rFonts w:eastAsia="Times New Roman" w:cs="Arial"/>
                <w:b/>
                <w:sz w:val="20"/>
                <w:szCs w:val="20"/>
                <w:lang w:val="en-GB"/>
              </w:rPr>
            </w:pPr>
            <w:r w:rsidRPr="00E04A13">
              <w:rPr>
                <w:rFonts w:eastAsia="Times New Roman" w:cs="Arial"/>
                <w:b/>
                <w:sz w:val="20"/>
                <w:szCs w:val="20"/>
                <w:lang w:val="en-GB"/>
              </w:rPr>
              <w:t>3.2%</w:t>
            </w:r>
          </w:p>
        </w:tc>
        <w:tc>
          <w:tcPr>
            <w:tcW w:w="808" w:type="dxa"/>
          </w:tcPr>
          <w:p w:rsidR="00024B34" w:rsidRPr="00E04A13" w:rsidRDefault="00024B34" w:rsidP="00A024BB">
            <w:pPr>
              <w:spacing w:before="40" w:after="40" w:line="240" w:lineRule="auto"/>
              <w:jc w:val="right"/>
              <w:rPr>
                <w:rFonts w:eastAsia="Times New Roman" w:cs="Arial"/>
                <w:b/>
                <w:sz w:val="20"/>
                <w:szCs w:val="20"/>
                <w:lang w:val="en-GB"/>
              </w:rPr>
            </w:pPr>
          </w:p>
        </w:tc>
        <w:tc>
          <w:tcPr>
            <w:tcW w:w="808" w:type="dxa"/>
            <w:vAlign w:val="bottom"/>
          </w:tcPr>
          <w:p w:rsidR="00024B34" w:rsidRPr="00E04A13" w:rsidRDefault="00024B34" w:rsidP="00A024BB">
            <w:pPr>
              <w:spacing w:before="40" w:after="40" w:line="240" w:lineRule="auto"/>
              <w:jc w:val="right"/>
              <w:rPr>
                <w:rFonts w:eastAsia="Times New Roman" w:cs="Arial"/>
                <w:b/>
                <w:sz w:val="20"/>
                <w:szCs w:val="20"/>
                <w:lang w:val="en-GB"/>
              </w:rPr>
            </w:pPr>
            <w:r w:rsidRPr="00E04A13">
              <w:rPr>
                <w:rFonts w:eastAsia="Times New Roman" w:cs="Arial"/>
                <w:b/>
                <w:sz w:val="20"/>
                <w:szCs w:val="20"/>
                <w:lang w:val="en-GB"/>
              </w:rPr>
              <w:t>3.8%</w:t>
            </w:r>
          </w:p>
        </w:tc>
        <w:tc>
          <w:tcPr>
            <w:tcW w:w="808" w:type="dxa"/>
            <w:shd w:val="clear" w:color="auto" w:fill="auto"/>
          </w:tcPr>
          <w:p w:rsidR="00024B34" w:rsidRPr="00E04A13" w:rsidRDefault="00024B34" w:rsidP="00A024BB">
            <w:pPr>
              <w:spacing w:before="40" w:after="40" w:line="240" w:lineRule="auto"/>
              <w:jc w:val="right"/>
              <w:rPr>
                <w:rFonts w:eastAsia="Times New Roman" w:cs="Arial"/>
                <w:b/>
                <w:sz w:val="20"/>
                <w:szCs w:val="20"/>
                <w:lang w:val="en-GB"/>
              </w:rPr>
            </w:pPr>
          </w:p>
        </w:tc>
        <w:tc>
          <w:tcPr>
            <w:tcW w:w="808" w:type="dxa"/>
            <w:vAlign w:val="bottom"/>
          </w:tcPr>
          <w:p w:rsidR="00024B34" w:rsidRPr="00E04A13" w:rsidRDefault="00597EC4" w:rsidP="00A024BB">
            <w:pPr>
              <w:spacing w:before="40" w:after="40" w:line="240" w:lineRule="auto"/>
              <w:jc w:val="right"/>
              <w:rPr>
                <w:rFonts w:eastAsia="Times New Roman" w:cs="Arial"/>
                <w:b/>
                <w:sz w:val="20"/>
                <w:szCs w:val="20"/>
                <w:lang w:val="en-GB"/>
              </w:rPr>
            </w:pPr>
            <w:r>
              <w:rPr>
                <w:rFonts w:eastAsia="Times New Roman" w:cs="Arial"/>
                <w:b/>
                <w:sz w:val="20"/>
                <w:szCs w:val="20"/>
                <w:lang w:val="en-GB"/>
              </w:rPr>
              <w:t>12.4%</w:t>
            </w:r>
          </w:p>
        </w:tc>
        <w:tc>
          <w:tcPr>
            <w:tcW w:w="808" w:type="dxa"/>
            <w:shd w:val="clear" w:color="auto" w:fill="auto"/>
          </w:tcPr>
          <w:p w:rsidR="00024B34" w:rsidRPr="00E04A13" w:rsidRDefault="00024B34" w:rsidP="00A024BB">
            <w:pPr>
              <w:spacing w:before="40" w:after="40" w:line="240" w:lineRule="auto"/>
              <w:jc w:val="right"/>
              <w:rPr>
                <w:rFonts w:eastAsia="Times New Roman" w:cs="Arial"/>
                <w:b/>
                <w:sz w:val="20"/>
                <w:szCs w:val="20"/>
                <w:lang w:val="en-GB"/>
              </w:rPr>
            </w:pPr>
          </w:p>
        </w:tc>
      </w:tr>
    </w:tbl>
    <w:p w:rsidR="00A63D28" w:rsidRPr="00E04A13" w:rsidRDefault="00A63D28" w:rsidP="00A63D28">
      <w:pPr>
        <w:pStyle w:val="Caption"/>
        <w:rPr>
          <w:lang w:val="en-GB"/>
        </w:rPr>
      </w:pPr>
      <w:bookmarkStart w:id="8" w:name="_Ref249437288"/>
      <w:bookmarkStart w:id="9" w:name="_Toc252202021"/>
      <w:r w:rsidRPr="00E04A13">
        <w:rPr>
          <w:lang w:val="en-GB"/>
        </w:rPr>
        <w:t xml:space="preserve">Table </w:t>
      </w:r>
      <w:r w:rsidR="00EA4FE5" w:rsidRPr="00E04A13">
        <w:rPr>
          <w:lang w:val="en-GB"/>
        </w:rPr>
        <w:fldChar w:fldCharType="begin"/>
      </w:r>
      <w:r w:rsidR="00647FEE" w:rsidRPr="00E04A13">
        <w:rPr>
          <w:lang w:val="en-GB"/>
        </w:rPr>
        <w:instrText xml:space="preserve"> SEQ Table \* ARABIC </w:instrText>
      </w:r>
      <w:r w:rsidR="00EA4FE5" w:rsidRPr="00E04A13">
        <w:rPr>
          <w:lang w:val="en-GB"/>
        </w:rPr>
        <w:fldChar w:fldCharType="separate"/>
      </w:r>
      <w:r w:rsidR="00503F5D">
        <w:rPr>
          <w:noProof/>
          <w:lang w:val="en-GB"/>
        </w:rPr>
        <w:t>2</w:t>
      </w:r>
      <w:r w:rsidR="00EA4FE5" w:rsidRPr="00E04A13">
        <w:rPr>
          <w:lang w:val="en-GB"/>
        </w:rPr>
        <w:fldChar w:fldCharType="end"/>
      </w:r>
      <w:bookmarkEnd w:id="8"/>
      <w:r w:rsidRPr="00E04A13">
        <w:rPr>
          <w:lang w:val="en-GB"/>
        </w:rPr>
        <w:t xml:space="preserve">: Growth rates </w:t>
      </w:r>
      <w:r w:rsidR="00A024BB" w:rsidRPr="00E04A13">
        <w:rPr>
          <w:lang w:val="en-GB"/>
        </w:rPr>
        <w:t>in LCEGS and GDP</w:t>
      </w:r>
      <w:r w:rsidR="00BF64CC" w:rsidRPr="00E04A13">
        <w:rPr>
          <w:lang w:val="en-GB"/>
        </w:rPr>
        <w:t xml:space="preserve"> for eight countries</w:t>
      </w:r>
      <w:r w:rsidR="00A024BB" w:rsidRPr="00E04A13">
        <w:rPr>
          <w:lang w:val="en-GB"/>
        </w:rPr>
        <w:t xml:space="preserve">, </w:t>
      </w:r>
      <w:r w:rsidRPr="00E04A13">
        <w:rPr>
          <w:lang w:val="en-GB"/>
        </w:rPr>
        <w:t>2007-2011</w:t>
      </w:r>
      <w:r w:rsidR="003A6F29">
        <w:rPr>
          <w:lang w:val="en-GB"/>
        </w:rPr>
        <w:t xml:space="preserve">. Source: </w:t>
      </w:r>
      <w:proofErr w:type="spellStart"/>
      <w:r w:rsidR="003A6F29">
        <w:rPr>
          <w:lang w:val="en-GB"/>
        </w:rPr>
        <w:t>Eurostat</w:t>
      </w:r>
      <w:proofErr w:type="spellEnd"/>
      <w:r w:rsidR="003A6F29">
        <w:rPr>
          <w:lang w:val="en-GB"/>
        </w:rPr>
        <w:t xml:space="preserve"> and IMF</w:t>
      </w:r>
      <w:bookmarkEnd w:id="9"/>
    </w:p>
    <w:p w:rsidR="00792CE4" w:rsidRPr="00E04A13" w:rsidRDefault="002F41C9" w:rsidP="002F41C9">
      <w:pPr>
        <w:rPr>
          <w:lang w:val="en-GB"/>
        </w:rPr>
      </w:pPr>
      <w:r w:rsidRPr="00E04A13">
        <w:rPr>
          <w:lang w:val="en-GB"/>
        </w:rPr>
        <w:t>Generally</w:t>
      </w:r>
      <w:r w:rsidR="00173BEA" w:rsidRPr="00E04A13">
        <w:rPr>
          <w:lang w:val="en-GB"/>
        </w:rPr>
        <w:t>,</w:t>
      </w:r>
      <w:r w:rsidRPr="00E04A13">
        <w:rPr>
          <w:lang w:val="en-GB"/>
        </w:rPr>
        <w:t xml:space="preserve"> the </w:t>
      </w:r>
      <w:r w:rsidR="00173BEA" w:rsidRPr="00E04A13">
        <w:rPr>
          <w:lang w:val="en-GB"/>
        </w:rPr>
        <w:t>m</w:t>
      </w:r>
      <w:r w:rsidRPr="00E04A13">
        <w:rPr>
          <w:lang w:val="en-GB"/>
        </w:rPr>
        <w:t xml:space="preserve">arket share </w:t>
      </w:r>
      <w:r w:rsidR="00173BEA" w:rsidRPr="00E04A13">
        <w:rPr>
          <w:lang w:val="en-GB"/>
        </w:rPr>
        <w:t xml:space="preserve">of European </w:t>
      </w:r>
      <w:r w:rsidRPr="00E04A13">
        <w:rPr>
          <w:lang w:val="en-GB"/>
        </w:rPr>
        <w:t>Eco-</w:t>
      </w:r>
      <w:r w:rsidR="00173BEA" w:rsidRPr="00E04A13">
        <w:rPr>
          <w:lang w:val="en-GB"/>
        </w:rPr>
        <w:t>I</w:t>
      </w:r>
      <w:r w:rsidRPr="00E04A13">
        <w:rPr>
          <w:lang w:val="en-GB"/>
        </w:rPr>
        <w:t xml:space="preserve">ndustries </w:t>
      </w:r>
      <w:r w:rsidR="00173BEA" w:rsidRPr="00E04A13">
        <w:rPr>
          <w:lang w:val="en-GB"/>
        </w:rPr>
        <w:t xml:space="preserve">in the global market </w:t>
      </w:r>
      <w:r w:rsidR="005D3540" w:rsidRPr="00E04A13">
        <w:rPr>
          <w:lang w:val="en-GB"/>
        </w:rPr>
        <w:t xml:space="preserve">did </w:t>
      </w:r>
      <w:r w:rsidR="008C6C36">
        <w:rPr>
          <w:lang w:val="en-GB"/>
        </w:rPr>
        <w:t>not change</w:t>
      </w:r>
      <w:r w:rsidRPr="00E04A13">
        <w:rPr>
          <w:lang w:val="en-GB"/>
        </w:rPr>
        <w:t xml:space="preserve"> duri</w:t>
      </w:r>
      <w:r w:rsidR="00173BEA" w:rsidRPr="00E04A13">
        <w:rPr>
          <w:lang w:val="en-GB"/>
        </w:rPr>
        <w:t xml:space="preserve">ng </w:t>
      </w:r>
      <w:r w:rsidR="005D3540" w:rsidRPr="00E04A13">
        <w:rPr>
          <w:lang w:val="en-GB"/>
        </w:rPr>
        <w:t xml:space="preserve">or </w:t>
      </w:r>
      <w:r w:rsidR="00173BEA" w:rsidRPr="00E04A13">
        <w:rPr>
          <w:lang w:val="en-GB"/>
        </w:rPr>
        <w:t xml:space="preserve">after the crisis. The EU-28 </w:t>
      </w:r>
      <w:r w:rsidR="009775D7" w:rsidRPr="00E04A13">
        <w:rPr>
          <w:lang w:val="en-GB"/>
        </w:rPr>
        <w:t>Eco-Industries</w:t>
      </w:r>
      <w:r w:rsidR="00792CE4" w:rsidRPr="00E04A13">
        <w:rPr>
          <w:lang w:val="en-GB"/>
        </w:rPr>
        <w:t xml:space="preserve"> grew at the same speed </w:t>
      </w:r>
      <w:r w:rsidR="00173BEA" w:rsidRPr="00E04A13">
        <w:rPr>
          <w:lang w:val="en-GB"/>
        </w:rPr>
        <w:t>as</w:t>
      </w:r>
      <w:r w:rsidR="00792CE4" w:rsidRPr="00E04A13">
        <w:rPr>
          <w:lang w:val="en-GB"/>
        </w:rPr>
        <w:t xml:space="preserve"> the global </w:t>
      </w:r>
      <w:r w:rsidR="009775D7" w:rsidRPr="00E04A13">
        <w:rPr>
          <w:lang w:val="en-GB"/>
        </w:rPr>
        <w:t>Eco-Industries</w:t>
      </w:r>
      <w:r w:rsidR="00792CE4" w:rsidRPr="00E04A13">
        <w:rPr>
          <w:lang w:val="en-GB"/>
        </w:rPr>
        <w:t xml:space="preserve"> and the market share of EU</w:t>
      </w:r>
      <w:r w:rsidR="00173BEA" w:rsidRPr="00E04A13">
        <w:rPr>
          <w:lang w:val="en-GB"/>
        </w:rPr>
        <w:t>-28</w:t>
      </w:r>
      <w:r w:rsidR="00792CE4" w:rsidRPr="00E04A13">
        <w:rPr>
          <w:lang w:val="en-GB"/>
        </w:rPr>
        <w:t xml:space="preserve"> producers stayed at 22% from 2008 to 2011. The same is true for the different sub-sectors of the Eco-industr</w:t>
      </w:r>
      <w:r w:rsidR="005363C7" w:rsidRPr="00E04A13">
        <w:rPr>
          <w:lang w:val="en-GB"/>
        </w:rPr>
        <w:t>i</w:t>
      </w:r>
      <w:r w:rsidR="002B2603" w:rsidRPr="00E04A13">
        <w:rPr>
          <w:lang w:val="en-GB"/>
        </w:rPr>
        <w:t>e</w:t>
      </w:r>
      <w:r w:rsidR="005363C7" w:rsidRPr="00E04A13">
        <w:rPr>
          <w:lang w:val="en-GB"/>
        </w:rPr>
        <w:t>s</w:t>
      </w:r>
      <w:r w:rsidR="00792CE4" w:rsidRPr="00E04A13">
        <w:rPr>
          <w:lang w:val="en-GB"/>
        </w:rPr>
        <w:t xml:space="preserve">. </w:t>
      </w:r>
      <w:r w:rsidR="0058553A" w:rsidRPr="00E04A13">
        <w:rPr>
          <w:lang w:val="en-GB"/>
        </w:rPr>
        <w:t>In all sub-secto</w:t>
      </w:r>
      <w:r w:rsidR="00173BEA" w:rsidRPr="00E04A13">
        <w:rPr>
          <w:lang w:val="en-GB"/>
        </w:rPr>
        <w:t xml:space="preserve">rs the market share of European producers </w:t>
      </w:r>
      <w:r w:rsidR="0058553A" w:rsidRPr="00E04A13">
        <w:rPr>
          <w:lang w:val="en-GB"/>
        </w:rPr>
        <w:t>remained fairly constant</w:t>
      </w:r>
      <w:r w:rsidR="005363C7" w:rsidRPr="00E04A13">
        <w:rPr>
          <w:lang w:val="en-GB"/>
        </w:rPr>
        <w:t xml:space="preserve"> over the study perio</w:t>
      </w:r>
      <w:r w:rsidR="00173BEA" w:rsidRPr="00E04A13">
        <w:rPr>
          <w:lang w:val="en-GB"/>
        </w:rPr>
        <w:t>d</w:t>
      </w:r>
      <w:r w:rsidR="0058553A" w:rsidRPr="00E04A13">
        <w:rPr>
          <w:lang w:val="en-GB"/>
        </w:rPr>
        <w:t xml:space="preserve">. </w:t>
      </w:r>
    </w:p>
    <w:p w:rsidR="0058553A" w:rsidRPr="00E04A13" w:rsidRDefault="0058553A" w:rsidP="002F41C9">
      <w:pPr>
        <w:rPr>
          <w:lang w:val="en-GB"/>
        </w:rPr>
      </w:pPr>
      <w:r w:rsidRPr="00E04A13">
        <w:rPr>
          <w:lang w:val="en-GB"/>
        </w:rPr>
        <w:t>As the European economy was growing much slower in the respective period than the world economy</w:t>
      </w:r>
      <w:r w:rsidR="005363C7" w:rsidRPr="00E04A13">
        <w:rPr>
          <w:lang w:val="en-GB"/>
        </w:rPr>
        <w:t>,</w:t>
      </w:r>
      <w:r w:rsidRPr="00E04A13">
        <w:rPr>
          <w:lang w:val="en-GB"/>
        </w:rPr>
        <w:t xml:space="preserve"> this is a substantial achievement</w:t>
      </w:r>
      <w:r w:rsidR="008C6C36">
        <w:rPr>
          <w:lang w:val="en-GB"/>
        </w:rPr>
        <w:t xml:space="preserve">. </w:t>
      </w:r>
      <w:r w:rsidRPr="00E04A13">
        <w:rPr>
          <w:lang w:val="en-GB"/>
        </w:rPr>
        <w:t xml:space="preserve"> </w:t>
      </w:r>
      <w:r w:rsidR="008C6C36">
        <w:rPr>
          <w:lang w:val="en-GB"/>
        </w:rPr>
        <w:t xml:space="preserve">It </w:t>
      </w:r>
      <w:r w:rsidR="005363C7" w:rsidRPr="00E04A13">
        <w:rPr>
          <w:lang w:val="en-GB"/>
        </w:rPr>
        <w:t xml:space="preserve">underscores </w:t>
      </w:r>
      <w:r w:rsidRPr="00E04A13">
        <w:rPr>
          <w:lang w:val="en-GB"/>
        </w:rPr>
        <w:t xml:space="preserve">the </w:t>
      </w:r>
      <w:r w:rsidR="005363C7" w:rsidRPr="00E04A13">
        <w:rPr>
          <w:lang w:val="en-GB"/>
        </w:rPr>
        <w:t xml:space="preserve">competitiveness of </w:t>
      </w:r>
      <w:r w:rsidRPr="00E04A13">
        <w:rPr>
          <w:lang w:val="en-GB"/>
        </w:rPr>
        <w:t xml:space="preserve">European </w:t>
      </w:r>
      <w:r w:rsidR="005363C7" w:rsidRPr="00E04A13">
        <w:rPr>
          <w:lang w:val="en-GB"/>
        </w:rPr>
        <w:t xml:space="preserve">Eco-Industries and could provide justification for a strong, continued </w:t>
      </w:r>
      <w:r w:rsidRPr="00E04A13">
        <w:rPr>
          <w:lang w:val="en-GB"/>
        </w:rPr>
        <w:t xml:space="preserve">commitment to a green </w:t>
      </w:r>
      <w:r w:rsidR="005363C7" w:rsidRPr="00E04A13">
        <w:rPr>
          <w:lang w:val="en-GB"/>
        </w:rPr>
        <w:t xml:space="preserve">economic </w:t>
      </w:r>
      <w:r w:rsidRPr="00E04A13">
        <w:rPr>
          <w:lang w:val="en-GB"/>
        </w:rPr>
        <w:t xml:space="preserve">transition. </w:t>
      </w:r>
    </w:p>
    <w:p w:rsidR="009775D7" w:rsidRPr="00E04A13" w:rsidRDefault="00A63D28" w:rsidP="006F6028">
      <w:pPr>
        <w:pStyle w:val="Heading1"/>
        <w:spacing w:before="480"/>
        <w:rPr>
          <w:lang w:val="en-GB"/>
        </w:rPr>
      </w:pPr>
      <w:bookmarkStart w:id="10" w:name="_Toc251626633"/>
      <w:r w:rsidRPr="00E04A13">
        <w:rPr>
          <w:lang w:val="en-GB"/>
        </w:rPr>
        <w:t>Innovation</w:t>
      </w:r>
      <w:r w:rsidR="002B2603" w:rsidRPr="00E04A13">
        <w:rPr>
          <w:lang w:val="en-GB"/>
        </w:rPr>
        <w:t xml:space="preserve"> in the Eco-Industries</w:t>
      </w:r>
      <w:bookmarkEnd w:id="10"/>
    </w:p>
    <w:p w:rsidR="009775D7" w:rsidRPr="00E04A13" w:rsidRDefault="009775D7" w:rsidP="009775D7">
      <w:pPr>
        <w:rPr>
          <w:lang w:val="en-GB"/>
        </w:rPr>
      </w:pPr>
      <w:r w:rsidRPr="00E04A13">
        <w:rPr>
          <w:lang w:val="en-GB"/>
        </w:rPr>
        <w:t xml:space="preserve">While innovation may not be as important of an input for more established Eco-Industries like wastewater management, innovation is a production growth factor in the Eco-Industries like any other component of the economy. There are several ways of measuring innovation. Unfortunately each </w:t>
      </w:r>
      <w:r w:rsidR="005D3540" w:rsidRPr="00E04A13">
        <w:rPr>
          <w:lang w:val="en-GB"/>
        </w:rPr>
        <w:t>method</w:t>
      </w:r>
      <w:r w:rsidRPr="00E04A13">
        <w:rPr>
          <w:lang w:val="en-GB"/>
        </w:rPr>
        <w:t xml:space="preserve"> has drawbacks, in particular when comparing innovations across sectors within an economy </w:t>
      </w:r>
      <w:proofErr w:type="gramStart"/>
      <w:r w:rsidRPr="00E04A13">
        <w:rPr>
          <w:lang w:val="en-GB"/>
        </w:rPr>
        <w:t>or  the</w:t>
      </w:r>
      <w:proofErr w:type="gramEnd"/>
      <w:r w:rsidRPr="00E04A13">
        <w:rPr>
          <w:lang w:val="en-GB"/>
        </w:rPr>
        <w:t xml:space="preserve"> same sectors in </w:t>
      </w:r>
      <w:r w:rsidR="005D3540" w:rsidRPr="00E04A13">
        <w:rPr>
          <w:lang w:val="en-GB"/>
        </w:rPr>
        <w:t xml:space="preserve">different </w:t>
      </w:r>
      <w:r w:rsidRPr="00E04A13">
        <w:rPr>
          <w:lang w:val="en-GB"/>
        </w:rPr>
        <w:t>countries. One of these ways is a post-facto assessment of market capture and market leadership over time. In the country assessments below, we provide snapshots of the present position of the respective countries in some of the key Eco-Industries.</w:t>
      </w:r>
    </w:p>
    <w:p w:rsidR="009775D7" w:rsidRPr="00E04A13" w:rsidRDefault="009775D7" w:rsidP="009775D7">
      <w:pPr>
        <w:rPr>
          <w:lang w:val="en-GB"/>
        </w:rPr>
      </w:pPr>
      <w:r w:rsidRPr="00E04A13">
        <w:rPr>
          <w:lang w:val="en-GB"/>
        </w:rPr>
        <w:t xml:space="preserve">This chapter looks at two other proxy measures used to indicate innovation potential: R&amp;D spending (both public and private) as one major input to the innovation activity, and the number of patents filed in a country as one major output of innovation activity. These measures are not foolproof measures of innovation, and have their limitations especially when drawing comparisons across countries, but they have proven robustly indicative of innovation potential. </w:t>
      </w:r>
    </w:p>
    <w:p w:rsidR="009775D7" w:rsidRPr="00E04A13" w:rsidRDefault="009775D7" w:rsidP="009775D7">
      <w:pPr>
        <w:pStyle w:val="Heading2"/>
        <w:spacing w:before="480"/>
        <w:rPr>
          <w:lang w:val="en-GB"/>
        </w:rPr>
      </w:pPr>
      <w:bookmarkStart w:id="11" w:name="_Toc251626634"/>
      <w:r w:rsidRPr="00E04A13">
        <w:rPr>
          <w:lang w:val="en-GB"/>
        </w:rPr>
        <w:t>Patenting activity in environmental industries</w:t>
      </w:r>
      <w:bookmarkEnd w:id="11"/>
    </w:p>
    <w:p w:rsidR="009775D7" w:rsidRPr="00E04A13" w:rsidRDefault="009775D7" w:rsidP="009775D7">
      <w:pPr>
        <w:rPr>
          <w:lang w:val="en-GB"/>
        </w:rPr>
      </w:pPr>
      <w:r w:rsidRPr="00E04A13">
        <w:rPr>
          <w:lang w:val="en-GB"/>
        </w:rPr>
        <w:t xml:space="preserve">The number of patens issued to applicants from a particular industry, or from a particular country, is often used to approximate the innovativeness of industries. Patents represent one key output of the innovation activity, and patenting activity is well document. Yet, while there is certainly a correlation between innovation and patenting, it should be acknowledged that patent data has some limitations as an indicator of innovativeness. First, not all inventions are patented; second, the raw patenting data does not allow </w:t>
      </w:r>
      <w:proofErr w:type="gramStart"/>
      <w:r w:rsidRPr="00E04A13">
        <w:rPr>
          <w:lang w:val="en-GB"/>
        </w:rPr>
        <w:t>to distinguish</w:t>
      </w:r>
      <w:proofErr w:type="gramEnd"/>
      <w:r w:rsidRPr="00E04A13">
        <w:rPr>
          <w:lang w:val="en-GB"/>
        </w:rPr>
        <w:t xml:space="preserve"> the value of a patent (all patented inventions have to be novel, but some patented inventions are more innovative than others); and third, the propensity to patent and the patent regime differ between countries</w:t>
      </w:r>
      <w:r w:rsidR="00D57333" w:rsidRPr="00E04A13">
        <w:rPr>
          <w:lang w:val="en-GB"/>
        </w:rPr>
        <w:t>.</w:t>
      </w:r>
      <w:r w:rsidR="00B174D1" w:rsidRPr="00E04A13">
        <w:rPr>
          <w:rStyle w:val="FootnoteReference"/>
          <w:lang w:val="en-GB"/>
        </w:rPr>
        <w:footnoteReference w:id="8"/>
      </w:r>
      <w:r w:rsidRPr="00E04A13">
        <w:rPr>
          <w:lang w:val="en-GB"/>
        </w:rPr>
        <w:t xml:space="preserve"> Finally, much of the private R&amp;D takes place in multinational enterprises, the patent may be counted towards the country where the company is based, which may not necessarily be the same country where the research has taken place that has led to the invention. These limitations mean comparisons of patenting data across countries, across technologies or across economic sectors need to be viewed with some caution. Nonetheless, some insights can be inferred from them.</w:t>
      </w:r>
    </w:p>
    <w:p w:rsidR="009775D7" w:rsidRPr="00E04A13" w:rsidRDefault="009775D7" w:rsidP="009775D7">
      <w:pPr>
        <w:pStyle w:val="Heading3"/>
        <w:spacing w:before="360"/>
        <w:rPr>
          <w:lang w:val="en-GB"/>
        </w:rPr>
      </w:pPr>
      <w:bookmarkStart w:id="12" w:name="_Toc251626635"/>
      <w:r w:rsidRPr="00E04A13">
        <w:rPr>
          <w:lang w:val="en-GB"/>
        </w:rPr>
        <w:t>Patenting activity in environmental industries across countries</w:t>
      </w:r>
      <w:bookmarkEnd w:id="12"/>
    </w:p>
    <w:p w:rsidR="009775D7" w:rsidRPr="00E04A13" w:rsidRDefault="009775D7" w:rsidP="009775D7">
      <w:pPr>
        <w:rPr>
          <w:lang w:val="en-GB"/>
        </w:rPr>
      </w:pPr>
      <w:r w:rsidRPr="00E04A13">
        <w:rPr>
          <w:lang w:val="en-GB"/>
        </w:rPr>
        <w:t>Drawing on international patenting data, the OECD has developed the indicator of environmental technologies (ENV-Tech Indicator), which provides good evidence on the patents issued for a defined set of environment-related technologies across the OECD countries and a number of non-OECD countries.</w:t>
      </w:r>
      <w:r w:rsidRPr="00E04A13">
        <w:rPr>
          <w:rStyle w:val="FootnoteReference"/>
          <w:lang w:val="en-GB"/>
        </w:rPr>
        <w:footnoteReference w:id="9"/>
      </w:r>
      <w:r w:rsidRPr="00E04A13">
        <w:rPr>
          <w:lang w:val="en-GB"/>
        </w:rPr>
        <w:t xml:space="preserve"> The environment-related technologies are grouped into seven categories, from general environmental management (water, air or waste management) to renewable energies to energy efficiency technologies in transport and buildings.</w:t>
      </w:r>
    </w:p>
    <w:p w:rsidR="009775D7" w:rsidRPr="00E04A13" w:rsidRDefault="00EA4FE5" w:rsidP="009775D7">
      <w:pPr>
        <w:rPr>
          <w:lang w:val="en-GB"/>
        </w:rPr>
      </w:pPr>
      <w:r w:rsidRPr="00E04A13">
        <w:rPr>
          <w:lang w:val="en-GB"/>
        </w:rPr>
        <w:fldChar w:fldCharType="begin"/>
      </w:r>
      <w:r w:rsidR="009051E6" w:rsidRPr="00E04A13">
        <w:rPr>
          <w:lang w:val="en-GB"/>
        </w:rPr>
        <w:instrText xml:space="preserve"> REF _Ref249207277 \h </w:instrText>
      </w:r>
      <w:r w:rsidR="00024B34" w:rsidRPr="00EA4FE5">
        <w:rPr>
          <w:lang w:val="en-GB"/>
        </w:rPr>
      </w:r>
      <w:r w:rsidRPr="00E04A13">
        <w:rPr>
          <w:lang w:val="en-GB"/>
        </w:rPr>
        <w:fldChar w:fldCharType="separate"/>
      </w:r>
      <w:r w:rsidR="00503F5D">
        <w:t xml:space="preserve">Figure </w:t>
      </w:r>
      <w:r w:rsidR="00503F5D">
        <w:rPr>
          <w:noProof/>
        </w:rPr>
        <w:t>2</w:t>
      </w:r>
      <w:r w:rsidRPr="00E04A13">
        <w:rPr>
          <w:lang w:val="en-GB"/>
        </w:rPr>
        <w:fldChar w:fldCharType="end"/>
      </w:r>
      <w:r w:rsidR="009775D7" w:rsidRPr="00E04A13">
        <w:rPr>
          <w:lang w:val="en-GB"/>
        </w:rPr>
        <w:t xml:space="preserve"> presents the patenting activity in all environment-related technologies (as identified by the OECD) for the period 1990 – 2009, for</w:t>
      </w:r>
      <w:r w:rsidR="00D57333" w:rsidRPr="00E04A13">
        <w:rPr>
          <w:lang w:val="en-GB"/>
        </w:rPr>
        <w:t xml:space="preserve"> </w:t>
      </w:r>
      <w:r w:rsidR="009775D7" w:rsidRPr="00E04A13">
        <w:rPr>
          <w:lang w:val="en-GB"/>
        </w:rPr>
        <w:t>the eight countries analysed in greater depth in this paper. Some notable facts can be observed: first, with the exception of one year (200</w:t>
      </w:r>
      <w:r w:rsidR="00D57333" w:rsidRPr="00E04A13">
        <w:rPr>
          <w:lang w:val="en-GB"/>
        </w:rPr>
        <w:t>3</w:t>
      </w:r>
      <w:r w:rsidR="009775D7" w:rsidRPr="00E04A13">
        <w:rPr>
          <w:lang w:val="en-GB"/>
        </w:rPr>
        <w:t>), patenting activity has increased continuously, but particularly in the late 1990s and since 2005. The financial and economic crisis, starting in 2008, may have reduced the growth rate of patent applications, but did not lead to an absolute decline in the number of patent applications. Second, of the eight countries considered here, patenting activity is essentially limited to the five biggest countries – the US, Germany, China, the UK and Italy. The remaining three (Poland, Portugal and Mexico) account for less than one percent of the patent applications from the eight-country set. Given the acknowledged limitations for comparing patenting data across countries, however, this fact should be interpreted with caution. Third, and again acknowledging the limitations in cross-country comparisons, it is noticeable that while US-based applicants have filed most applications throughout, the absolute number is only about 50% higher than for Germany; in the late-1990s, Germany almost reached parity in terms of the number of patent applications. Third, China has been gaining ground: starting from zero patents in 1990, China overtook the UK in 2008 as the third largest country in the eight-country set.</w:t>
      </w:r>
    </w:p>
    <w:p w:rsidR="009775D7" w:rsidRPr="00E04A13" w:rsidRDefault="00EA4FE5" w:rsidP="009775D7">
      <w:pPr>
        <w:rPr>
          <w:noProof/>
          <w:lang w:val="en-GB"/>
        </w:rPr>
      </w:pPr>
      <w:r w:rsidRPr="00EA4FE5">
        <w:rPr>
          <w:noProof/>
          <w:lang w:val="en-GB"/>
        </w:rPr>
        <w:pict>
          <v:shapetype id="_x0000_t202" coordsize="21600,21600" o:spt="202" path="m0,0l0,21600,21600,21600,21600,0xe">
            <v:stroke joinstyle="miter"/>
            <v:path gradientshapeok="t" o:connecttype="rect"/>
          </v:shapetype>
          <v:shape id="_x0000_s1027" type="#_x0000_t202" style="position:absolute;left:0;text-align:left;margin-left:0;margin-top:161.05pt;width:453.55pt;height:43.3pt;z-index:251661312;mso-wrap-edited:f" wrapcoords="0 0 21600 0 21600 21600 0 21600 0 0" filled="f" stroked="f">
            <v:fill o:detectmouseclick="t"/>
            <v:textbox style="mso-next-textbox:#_x0000_s1027" inset="0,0,0,0">
              <w:txbxContent>
                <w:p w:rsidR="0095139D" w:rsidRDefault="0095139D" w:rsidP="009775D7">
                  <w:pPr>
                    <w:pStyle w:val="Caption"/>
                  </w:pPr>
                  <w:bookmarkStart w:id="13" w:name="_Ref249207277"/>
                  <w:r>
                    <w:t xml:space="preserve">Figure </w:t>
                  </w:r>
                  <w:fldSimple w:instr=" SEQ Figure \* ARABIC ">
                    <w:r>
                      <w:rPr>
                        <w:noProof/>
                      </w:rPr>
                      <w:t>2</w:t>
                    </w:r>
                  </w:fldSimple>
                  <w:bookmarkEnd w:id="13"/>
                  <w:r>
                    <w:t xml:space="preserve">: Number of patent applications for environment-related technologies in eight selected countries, 1990-2009. Source: OECD </w:t>
                  </w:r>
                  <w:r w:rsidRPr="00BF6733">
                    <w:t>ENV-Tech Indicator Set</w:t>
                  </w:r>
                </w:p>
              </w:txbxContent>
            </v:textbox>
            <w10:wrap type="tight"/>
          </v:shape>
        </w:pict>
      </w:r>
      <w:r w:rsidR="009775D7" w:rsidRPr="00E04A13">
        <w:rPr>
          <w:noProof/>
          <w:lang w:val="en-GB"/>
        </w:rPr>
        <w:t xml:space="preserve"> </w:t>
      </w:r>
      <w:r w:rsidR="009775D7" w:rsidRPr="00E04A13">
        <w:rPr>
          <w:noProof/>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5753735" cy="2187575"/>
            <wp:effectExtent l="25400" t="0" r="12065" b="0"/>
            <wp:wrapTight wrapText="bothSides">
              <wp:wrapPolygon edited="0">
                <wp:start x="-95" y="0"/>
                <wp:lineTo x="-95" y="21318"/>
                <wp:lineTo x="21645" y="21318"/>
                <wp:lineTo x="21645" y="0"/>
                <wp:lineTo x="-95"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cstate="print"/>
                    <a:srcRect/>
                    <a:stretch>
                      <a:fillRect/>
                    </a:stretch>
                  </pic:blipFill>
                  <pic:spPr bwMode="auto">
                    <a:xfrm>
                      <a:off x="0" y="0"/>
                      <a:ext cx="5753735" cy="2187575"/>
                    </a:xfrm>
                    <a:prstGeom prst="rect">
                      <a:avLst/>
                    </a:prstGeom>
                    <a:noFill/>
                    <a:ln w="9525">
                      <a:noFill/>
                      <a:miter lim="800000"/>
                      <a:headEnd/>
                      <a:tailEnd/>
                    </a:ln>
                  </pic:spPr>
                </pic:pic>
              </a:graphicData>
            </a:graphic>
          </wp:anchor>
        </w:drawing>
      </w:r>
      <w:r w:rsidR="009775D7" w:rsidRPr="00E04A13">
        <w:rPr>
          <w:noProof/>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5760085" cy="1988185"/>
            <wp:effectExtent l="25400" t="0" r="5715" b="0"/>
            <wp:wrapTight wrapText="bothSides">
              <wp:wrapPolygon edited="0">
                <wp:start x="-95" y="0"/>
                <wp:lineTo x="-95" y="21524"/>
                <wp:lineTo x="21621" y="21524"/>
                <wp:lineTo x="21621" y="0"/>
                <wp:lineTo x="-95" y="0"/>
              </wp:wrapPolygon>
            </wp:wrapTight>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srcRect/>
                    <a:stretch>
                      <a:fillRect/>
                    </a:stretch>
                  </pic:blipFill>
                  <pic:spPr bwMode="auto">
                    <a:xfrm>
                      <a:off x="0" y="0"/>
                      <a:ext cx="5760085" cy="1988185"/>
                    </a:xfrm>
                    <a:prstGeom prst="rect">
                      <a:avLst/>
                    </a:prstGeom>
                    <a:noFill/>
                    <a:ln w="9525">
                      <a:noFill/>
                      <a:miter lim="800000"/>
                      <a:headEnd/>
                      <a:tailEnd/>
                    </a:ln>
                  </pic:spPr>
                </pic:pic>
              </a:graphicData>
            </a:graphic>
          </wp:anchor>
        </w:drawing>
      </w:r>
      <w:r w:rsidR="009775D7" w:rsidRPr="00E04A13">
        <w:rPr>
          <w:noProof/>
          <w:lang w:val="en-GB"/>
        </w:rPr>
        <w:t>A comparison of country-specific growth rates in patenting activity is of limited value, due to the small absolute number of patent applications in most of the countries concerned. Thus, the number of patent applications in China has increased 11-fold between 2000 and 2009, yet starting from a low base of only 43 patent applications during 2000. Likewise, applications have increased sixfold in Poland and still more than threefold in Portugal. For the three countries in the set that already had a mature patenting activity already in 2000 – Germany, the UK and the US, with some 3,200 patent applications among them – the rate of increase from 2000 to 2009 has been more modest, ranging from 65% in Germany and the UK to 90% in the US.</w:t>
      </w:r>
    </w:p>
    <w:p w:rsidR="009775D7" w:rsidRPr="00E04A13" w:rsidRDefault="009775D7" w:rsidP="009775D7">
      <w:pPr>
        <w:pStyle w:val="Heading3"/>
        <w:spacing w:before="360"/>
        <w:rPr>
          <w:lang w:val="en-GB"/>
        </w:rPr>
      </w:pPr>
      <w:bookmarkStart w:id="14" w:name="_Toc251626636"/>
      <w:r w:rsidRPr="00E04A13">
        <w:rPr>
          <w:lang w:val="en-GB"/>
        </w:rPr>
        <w:t>Patenting activity for selected environment-related technologies</w:t>
      </w:r>
      <w:bookmarkEnd w:id="14"/>
    </w:p>
    <w:p w:rsidR="009775D7" w:rsidRPr="00E04A13" w:rsidRDefault="00EA4FE5" w:rsidP="009775D7">
      <w:pPr>
        <w:rPr>
          <w:lang w:val="en-GB"/>
        </w:rPr>
      </w:pPr>
      <w:r w:rsidRPr="00E04A13">
        <w:rPr>
          <w:lang w:val="en-GB"/>
        </w:rPr>
        <w:fldChar w:fldCharType="begin"/>
      </w:r>
      <w:r w:rsidR="009051E6" w:rsidRPr="00E04A13">
        <w:rPr>
          <w:lang w:val="en-GB"/>
        </w:rPr>
        <w:instrText xml:space="preserve"> REF _Ref249208909 \h </w:instrText>
      </w:r>
      <w:r w:rsidR="00024B34" w:rsidRPr="00EA4FE5">
        <w:rPr>
          <w:lang w:val="en-GB"/>
        </w:rPr>
      </w:r>
      <w:r w:rsidRPr="00E04A13">
        <w:rPr>
          <w:lang w:val="en-GB"/>
        </w:rPr>
        <w:fldChar w:fldCharType="separate"/>
      </w:r>
      <w:r w:rsidR="00503F5D" w:rsidRPr="00E04A13">
        <w:rPr>
          <w:lang w:val="en-GB"/>
        </w:rPr>
        <w:t xml:space="preserve">Figure </w:t>
      </w:r>
      <w:r w:rsidR="00503F5D">
        <w:rPr>
          <w:noProof/>
          <w:lang w:val="en-GB"/>
        </w:rPr>
        <w:t>3</w:t>
      </w:r>
      <w:r w:rsidRPr="00E04A13">
        <w:rPr>
          <w:lang w:val="en-GB"/>
        </w:rPr>
        <w:fldChar w:fldCharType="end"/>
      </w:r>
      <w:r w:rsidR="009775D7" w:rsidRPr="00E04A13">
        <w:rPr>
          <w:lang w:val="en-GB"/>
        </w:rPr>
        <w:t xml:space="preserve"> presents an overview of the patent applications in the EU-28 for nine selected environment-related technologies. The bottom three technologies are examples of typical environmental management technologies: water pollution abatement, air pollution abatement and waste management. The middle three represent the most important renewable energy technologies in Europe (wind energy, solar PV and </w:t>
      </w:r>
      <w:proofErr w:type="spellStart"/>
      <w:r w:rsidR="009775D7" w:rsidRPr="00E04A13">
        <w:rPr>
          <w:lang w:val="en-GB"/>
        </w:rPr>
        <w:t>biofuels</w:t>
      </w:r>
      <w:proofErr w:type="spellEnd"/>
      <w:r w:rsidR="009775D7" w:rsidRPr="00E04A13">
        <w:rPr>
          <w:lang w:val="en-GB"/>
        </w:rPr>
        <w:t>). The top three are selected examples of technologies related to energy use and energy efficiency: energy storage technologies, technologies specific to propulsion using electric motors (e.g. electric vehicle, hybrid vehicle), and insulation technologies (e.g. thermal insulation or double glazing). Taken together, these nine technologies accounted for about 60% of all patent applications for environment-related technologies filed in the EU-28 in 2009.</w:t>
      </w:r>
    </w:p>
    <w:p w:rsidR="009775D7" w:rsidRPr="00E04A13" w:rsidRDefault="009775D7" w:rsidP="009775D7">
      <w:pPr>
        <w:rPr>
          <w:lang w:val="en-GB"/>
        </w:rPr>
      </w:pPr>
      <w:r w:rsidRPr="00E04A13">
        <w:rPr>
          <w:lang w:val="en-GB"/>
        </w:rPr>
        <w:t>One key insight is, again, that the growth in patenting activity has accelerated markedly since 2005, and that the 2008 financial and economic crisis has only temporarily dented this growth trend, but did not reverse it. In fact, only for one of the nine technologies (electric vehicle technologies) the number of patent applications declined from 2007 to 2008. A second remarkable point is that the growth in patenting activity comes predominantly from the energy-related technologies (both renewable energy technologies and energy efficiency). By contrast, the development in the classical environmental management technologies – which accounted for the bulk of environment-related technology patents still in 2000 – was more sluggish.</w:t>
      </w:r>
    </w:p>
    <w:p w:rsidR="009775D7" w:rsidRPr="00E04A13" w:rsidRDefault="009775D7" w:rsidP="009775D7">
      <w:pPr>
        <w:keepNext/>
        <w:rPr>
          <w:lang w:val="en-GB"/>
        </w:rPr>
      </w:pPr>
      <w:r w:rsidRPr="00E04A13">
        <w:rPr>
          <w:noProof/>
        </w:rPr>
        <w:drawing>
          <wp:inline distT="0" distB="0" distL="0" distR="0">
            <wp:extent cx="5757545" cy="3144520"/>
            <wp:effectExtent l="25400" t="0" r="825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cstate="print"/>
                    <a:srcRect/>
                    <a:stretch>
                      <a:fillRect/>
                    </a:stretch>
                  </pic:blipFill>
                  <pic:spPr bwMode="auto">
                    <a:xfrm>
                      <a:off x="0" y="0"/>
                      <a:ext cx="5757545" cy="3144520"/>
                    </a:xfrm>
                    <a:prstGeom prst="rect">
                      <a:avLst/>
                    </a:prstGeom>
                    <a:noFill/>
                    <a:ln w="9525">
                      <a:noFill/>
                      <a:miter lim="800000"/>
                      <a:headEnd/>
                      <a:tailEnd/>
                    </a:ln>
                  </pic:spPr>
                </pic:pic>
              </a:graphicData>
            </a:graphic>
          </wp:inline>
        </w:drawing>
      </w:r>
    </w:p>
    <w:p w:rsidR="009775D7" w:rsidRPr="00E04A13" w:rsidRDefault="009775D7" w:rsidP="009775D7">
      <w:pPr>
        <w:pStyle w:val="Caption"/>
        <w:rPr>
          <w:lang w:val="en-GB"/>
        </w:rPr>
      </w:pPr>
      <w:bookmarkStart w:id="15" w:name="_Ref249208909"/>
      <w:bookmarkStart w:id="16" w:name="_Ref249208903"/>
      <w:bookmarkStart w:id="17" w:name="_Toc249437485"/>
      <w:r w:rsidRPr="00E04A13">
        <w:rPr>
          <w:lang w:val="en-GB"/>
        </w:rPr>
        <w:t xml:space="preserve">Figure </w:t>
      </w:r>
      <w:r w:rsidR="00EA4FE5" w:rsidRPr="00E04A13">
        <w:rPr>
          <w:lang w:val="en-GB"/>
        </w:rPr>
        <w:fldChar w:fldCharType="begin"/>
      </w:r>
      <w:r w:rsidR="00053139" w:rsidRPr="00E04A13">
        <w:rPr>
          <w:lang w:val="en-GB"/>
        </w:rPr>
        <w:instrText xml:space="preserve"> SEQ Figure \* ARABIC </w:instrText>
      </w:r>
      <w:r w:rsidR="00EA4FE5" w:rsidRPr="00E04A13">
        <w:rPr>
          <w:lang w:val="en-GB"/>
        </w:rPr>
        <w:fldChar w:fldCharType="separate"/>
      </w:r>
      <w:r w:rsidR="00503F5D">
        <w:rPr>
          <w:noProof/>
          <w:lang w:val="en-GB"/>
        </w:rPr>
        <w:t>3</w:t>
      </w:r>
      <w:r w:rsidR="00EA4FE5" w:rsidRPr="00E04A13">
        <w:rPr>
          <w:lang w:val="en-GB"/>
        </w:rPr>
        <w:fldChar w:fldCharType="end"/>
      </w:r>
      <w:bookmarkEnd w:id="15"/>
      <w:r w:rsidRPr="00E04A13">
        <w:rPr>
          <w:lang w:val="en-GB"/>
        </w:rPr>
        <w:t>: Patent applications for selected environment-related technologies in the EU-28, 2000 – 2009. Source: OECD</w:t>
      </w:r>
      <w:bookmarkEnd w:id="16"/>
      <w:r w:rsidRPr="00E04A13">
        <w:rPr>
          <w:lang w:val="en-GB"/>
        </w:rPr>
        <w:t xml:space="preserve"> ENV-Tech Indicator Set</w:t>
      </w:r>
      <w:bookmarkEnd w:id="17"/>
    </w:p>
    <w:p w:rsidR="009775D7" w:rsidRPr="00E04A13" w:rsidRDefault="009775D7" w:rsidP="009775D7">
      <w:pPr>
        <w:rPr>
          <w:lang w:val="en-GB"/>
        </w:rPr>
      </w:pPr>
      <w:r w:rsidRPr="00E04A13">
        <w:rPr>
          <w:lang w:val="en-GB"/>
        </w:rPr>
        <w:t xml:space="preserve">The impression of an uneven growth in patenting activities for the different sectors is also evident from </w:t>
      </w:r>
      <w:r w:rsidR="00EA4FE5" w:rsidRPr="00E04A13">
        <w:rPr>
          <w:lang w:val="en-GB"/>
        </w:rPr>
        <w:fldChar w:fldCharType="begin"/>
      </w:r>
      <w:r w:rsidR="009051E6" w:rsidRPr="00E04A13">
        <w:rPr>
          <w:lang w:val="en-GB"/>
        </w:rPr>
        <w:instrText xml:space="preserve"> REF _Ref249211884 \h </w:instrText>
      </w:r>
      <w:r w:rsidR="00024B34" w:rsidRPr="00EA4FE5">
        <w:rPr>
          <w:lang w:val="en-GB"/>
        </w:rPr>
      </w:r>
      <w:r w:rsidR="00EA4FE5" w:rsidRPr="00E04A13">
        <w:rPr>
          <w:lang w:val="en-GB"/>
        </w:rPr>
        <w:fldChar w:fldCharType="separate"/>
      </w:r>
      <w:r w:rsidR="00503F5D" w:rsidRPr="00E04A13">
        <w:rPr>
          <w:lang w:val="en-GB"/>
        </w:rPr>
        <w:t xml:space="preserve">Figure </w:t>
      </w:r>
      <w:r w:rsidR="00503F5D">
        <w:rPr>
          <w:noProof/>
          <w:lang w:val="en-GB"/>
        </w:rPr>
        <w:t>4</w:t>
      </w:r>
      <w:r w:rsidR="00EA4FE5" w:rsidRPr="00E04A13">
        <w:rPr>
          <w:lang w:val="en-GB"/>
        </w:rPr>
        <w:fldChar w:fldCharType="end"/>
      </w:r>
      <w:r w:rsidRPr="00E04A13">
        <w:rPr>
          <w:lang w:val="en-GB"/>
        </w:rPr>
        <w:t xml:space="preserve">, which presents the growth in patenting relative to the year 2000. Apart from documenting the stellar growth in patenting for renewable energy technologies (with patent applications for solar PV, </w:t>
      </w:r>
      <w:proofErr w:type="spellStart"/>
      <w:r w:rsidRPr="00E04A13">
        <w:rPr>
          <w:lang w:val="en-GB"/>
        </w:rPr>
        <w:t>biofuels</w:t>
      </w:r>
      <w:proofErr w:type="spellEnd"/>
      <w:r w:rsidRPr="00E04A13">
        <w:rPr>
          <w:lang w:val="en-GB"/>
        </w:rPr>
        <w:t xml:space="preserve"> and wind energy increasing by a factor of seven, six and five respectively), it also documents that the patenting activity for all environment-related technologies has been stronger than the average for all patent applications. Since 2006, the number of patent applications has remained almost constant (at about 30% above the 2000 level), whereas the number of patent applications for environment-related technologies has continued to increase, and was twice as high in 2009 compared to 2000. This also implies that the share of environment-related technologies as a share of all patents has grown – from 6.6% in 2000 to 10.5% in 2009. One other notable observation is that the growth in patenting activity for classical environmental management technologies (air, water, waste) has been slower than for the energy-related technologies in the set – here, the growth in patenting activity was largely in line with the overall growth in patents, or at times somewhat weaker.</w:t>
      </w:r>
    </w:p>
    <w:p w:rsidR="009775D7" w:rsidRPr="00E04A13" w:rsidRDefault="009775D7" w:rsidP="009775D7">
      <w:pPr>
        <w:keepNext/>
        <w:rPr>
          <w:lang w:val="en-GB"/>
        </w:rPr>
      </w:pPr>
      <w:r w:rsidRPr="00E04A13">
        <w:rPr>
          <w:noProof/>
        </w:rPr>
        <w:drawing>
          <wp:inline distT="0" distB="0" distL="0" distR="0">
            <wp:extent cx="5759450" cy="2743835"/>
            <wp:effectExtent l="25400" t="0" r="635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1" cstate="print"/>
                    <a:srcRect/>
                    <a:stretch>
                      <a:fillRect/>
                    </a:stretch>
                  </pic:blipFill>
                  <pic:spPr bwMode="auto">
                    <a:xfrm>
                      <a:off x="0" y="0"/>
                      <a:ext cx="5759450" cy="2743835"/>
                    </a:xfrm>
                    <a:prstGeom prst="rect">
                      <a:avLst/>
                    </a:prstGeom>
                    <a:noFill/>
                    <a:ln w="9525">
                      <a:noFill/>
                      <a:miter lim="800000"/>
                      <a:headEnd/>
                      <a:tailEnd/>
                    </a:ln>
                  </pic:spPr>
                </pic:pic>
              </a:graphicData>
            </a:graphic>
          </wp:inline>
        </w:drawing>
      </w:r>
    </w:p>
    <w:p w:rsidR="009775D7" w:rsidRPr="00E04A13" w:rsidRDefault="009775D7" w:rsidP="009775D7">
      <w:pPr>
        <w:pStyle w:val="Caption"/>
        <w:rPr>
          <w:lang w:val="en-GB"/>
        </w:rPr>
      </w:pPr>
      <w:bookmarkStart w:id="18" w:name="_Ref249211884"/>
      <w:bookmarkStart w:id="19" w:name="_Toc249437486"/>
      <w:r w:rsidRPr="00E04A13">
        <w:rPr>
          <w:lang w:val="en-GB"/>
        </w:rPr>
        <w:t xml:space="preserve">Figure </w:t>
      </w:r>
      <w:r w:rsidR="00EA4FE5" w:rsidRPr="00E04A13">
        <w:rPr>
          <w:lang w:val="en-GB"/>
        </w:rPr>
        <w:fldChar w:fldCharType="begin"/>
      </w:r>
      <w:r w:rsidR="00053139" w:rsidRPr="00E04A13">
        <w:rPr>
          <w:lang w:val="en-GB"/>
        </w:rPr>
        <w:instrText xml:space="preserve"> SEQ Figure \* ARABIC </w:instrText>
      </w:r>
      <w:r w:rsidR="00EA4FE5" w:rsidRPr="00E04A13">
        <w:rPr>
          <w:lang w:val="en-GB"/>
        </w:rPr>
        <w:fldChar w:fldCharType="separate"/>
      </w:r>
      <w:r w:rsidR="00503F5D">
        <w:rPr>
          <w:noProof/>
          <w:lang w:val="en-GB"/>
        </w:rPr>
        <w:t>4</w:t>
      </w:r>
      <w:r w:rsidR="00EA4FE5" w:rsidRPr="00E04A13">
        <w:rPr>
          <w:lang w:val="en-GB"/>
        </w:rPr>
        <w:fldChar w:fldCharType="end"/>
      </w:r>
      <w:bookmarkEnd w:id="18"/>
      <w:r w:rsidRPr="00E04A13">
        <w:rPr>
          <w:lang w:val="en-GB"/>
        </w:rPr>
        <w:t>: Patenting activity for selected technologies in the EU-28, 2000 - 2009 (2000 = 100). Source: OECD ENV-Tech Indicator Set</w:t>
      </w:r>
      <w:bookmarkEnd w:id="19"/>
    </w:p>
    <w:p w:rsidR="009775D7" w:rsidRPr="00E04A13" w:rsidRDefault="009775D7" w:rsidP="009775D7">
      <w:pPr>
        <w:pStyle w:val="Heading3"/>
        <w:spacing w:before="360"/>
        <w:rPr>
          <w:lang w:val="en-GB"/>
        </w:rPr>
      </w:pPr>
      <w:bookmarkStart w:id="20" w:name="_Toc251626637"/>
      <w:r w:rsidRPr="00E04A13">
        <w:rPr>
          <w:lang w:val="en-GB"/>
        </w:rPr>
        <w:t>Patenting activity in Europe compared to the US and China</w:t>
      </w:r>
      <w:bookmarkEnd w:id="20"/>
    </w:p>
    <w:p w:rsidR="009775D7" w:rsidRPr="00E04A13" w:rsidRDefault="009775D7" w:rsidP="009775D7">
      <w:pPr>
        <w:rPr>
          <w:lang w:val="en-GB"/>
        </w:rPr>
      </w:pPr>
      <w:r w:rsidRPr="00E04A13">
        <w:rPr>
          <w:lang w:val="en-GB"/>
        </w:rPr>
        <w:t xml:space="preserve">Finally, this section assesses how the patenting activity for environment-related technologies in the EU-28 compares to the US and China as two major competitors on the world market for such technologies. Again recalling the limitations of the patenting data for cross-country comparison, the analysis compares the patenting record for the nine selected technologies. </w:t>
      </w:r>
    </w:p>
    <w:p w:rsidR="009775D7" w:rsidRPr="00E04A13" w:rsidRDefault="009775D7" w:rsidP="009775D7">
      <w:pPr>
        <w:rPr>
          <w:lang w:val="en-GB"/>
        </w:rPr>
      </w:pPr>
      <w:r w:rsidRPr="00E04A13">
        <w:rPr>
          <w:lang w:val="en-GB"/>
        </w:rPr>
        <w:t>For the classical environmental management technologies (water pollution abatement, air pollution abatement and waste management), the technological leadership currently clearly rests with the EU. Not only did the EU account for at least half (or, in the case of waste management, two thirds) of the joint patent applications of the three. Patent applications also increased between 2006/2007 and 2008/2009, albeit at a much slower rate than for the energy-related technologies. By comparison, China achieved a higher growth of patent applications in water and air pollution abatement, yet starting from a low level. In the US, the number of patent applications declined for all three environmental management technologies between 2006/2007 and 2008/2009. The analysis also confirm the earlier observation that, while there has been some growth in the number of patent applications for environmental management technologies since 2000, this growth is much smaller than for the energy-related technologies. In absolute numbers, though, the number of patent applications for the different technologies is of a comparable magnitude.</w:t>
      </w:r>
    </w:p>
    <w:p w:rsidR="009775D7" w:rsidRPr="00E04A13" w:rsidRDefault="009775D7" w:rsidP="009775D7">
      <w:pPr>
        <w:keepNext/>
        <w:rPr>
          <w:lang w:val="en-GB"/>
        </w:rPr>
      </w:pPr>
      <w:r w:rsidRPr="00E04A13">
        <w:rPr>
          <w:noProof/>
        </w:rPr>
        <w:drawing>
          <wp:inline distT="0" distB="0" distL="0" distR="0">
            <wp:extent cx="4730138" cy="2936176"/>
            <wp:effectExtent l="2540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2" cstate="print"/>
                    <a:srcRect/>
                    <a:stretch>
                      <a:fillRect/>
                    </a:stretch>
                  </pic:blipFill>
                  <pic:spPr bwMode="auto">
                    <a:xfrm>
                      <a:off x="0" y="0"/>
                      <a:ext cx="4730138" cy="2936176"/>
                    </a:xfrm>
                    <a:prstGeom prst="rect">
                      <a:avLst/>
                    </a:prstGeom>
                    <a:noFill/>
                    <a:ln w="9525">
                      <a:noFill/>
                      <a:miter lim="800000"/>
                      <a:headEnd/>
                      <a:tailEnd/>
                    </a:ln>
                  </pic:spPr>
                </pic:pic>
              </a:graphicData>
            </a:graphic>
          </wp:inline>
        </w:drawing>
      </w:r>
    </w:p>
    <w:p w:rsidR="009775D7" w:rsidRPr="00E04A13" w:rsidRDefault="009775D7" w:rsidP="009775D7">
      <w:pPr>
        <w:pStyle w:val="Caption"/>
        <w:rPr>
          <w:lang w:val="en-GB"/>
        </w:rPr>
      </w:pPr>
      <w:bookmarkStart w:id="21" w:name="_Toc249437487"/>
      <w:r w:rsidRPr="00E04A13">
        <w:rPr>
          <w:lang w:val="en-GB"/>
        </w:rPr>
        <w:t xml:space="preserve">Figure </w:t>
      </w:r>
      <w:r w:rsidR="00EA4FE5" w:rsidRPr="00E04A13">
        <w:rPr>
          <w:lang w:val="en-GB"/>
        </w:rPr>
        <w:fldChar w:fldCharType="begin"/>
      </w:r>
      <w:r w:rsidR="00053139" w:rsidRPr="00E04A13">
        <w:rPr>
          <w:lang w:val="en-GB"/>
        </w:rPr>
        <w:instrText xml:space="preserve"> SEQ Figure \* ARABIC </w:instrText>
      </w:r>
      <w:r w:rsidR="00EA4FE5" w:rsidRPr="00E04A13">
        <w:rPr>
          <w:lang w:val="en-GB"/>
        </w:rPr>
        <w:fldChar w:fldCharType="separate"/>
      </w:r>
      <w:r w:rsidR="00503F5D">
        <w:rPr>
          <w:noProof/>
          <w:lang w:val="en-GB"/>
        </w:rPr>
        <w:t>5</w:t>
      </w:r>
      <w:r w:rsidR="00EA4FE5" w:rsidRPr="00E04A13">
        <w:rPr>
          <w:lang w:val="en-GB"/>
        </w:rPr>
        <w:fldChar w:fldCharType="end"/>
      </w:r>
      <w:r w:rsidRPr="00E04A13">
        <w:rPr>
          <w:lang w:val="en-GB"/>
        </w:rPr>
        <w:t>: Number of patent applications for selected environmental management technologies in the EU, China and the US, 2000 - 2009. Source: OECD ENV-Tech</w:t>
      </w:r>
      <w:bookmarkEnd w:id="21"/>
    </w:p>
    <w:p w:rsidR="009775D7" w:rsidRPr="00E04A13" w:rsidRDefault="009775D7" w:rsidP="009775D7">
      <w:pPr>
        <w:rPr>
          <w:lang w:val="en-GB"/>
        </w:rPr>
      </w:pPr>
      <w:r w:rsidRPr="00E04A13">
        <w:rPr>
          <w:lang w:val="en-GB"/>
        </w:rPr>
        <w:t xml:space="preserve">Renewable energy technologies witnessed very rapid growth of patenting activity, especially since 2005. Among the three countries / regions considered, the US has the technological leadership for Solar PV and </w:t>
      </w:r>
      <w:proofErr w:type="spellStart"/>
      <w:r w:rsidRPr="00E04A13">
        <w:rPr>
          <w:lang w:val="en-GB"/>
        </w:rPr>
        <w:t>Biofuels</w:t>
      </w:r>
      <w:proofErr w:type="spellEnd"/>
      <w:r w:rsidRPr="00E04A13">
        <w:rPr>
          <w:lang w:val="en-GB"/>
        </w:rPr>
        <w:t xml:space="preserve"> technologies, while the EU leads for wind. China, again, accounts for a smaller but rapidly growing share of the patent applications. Between 5 and 11% of the joint patent applications in the three countries came from China – and the number of patent applications was growing at 40 – 50% per annum between 2006/2007 and 2008/2009). In fact, all countries saw a rapid growth in patent applications in this period – but in Europe less so than in China and the US. For wind, for instance, patent applications in Europe grew by almost 30% per year between 2006/2007 and 2008/2009 – which is remarkable, but not fast enough to prevent US and China from catching up. For Solar PV, the situation is even between the EU and the US, with a slightly higher share of patents in the US, but a marginally higher growth rate of patenting in the EU. China features a higher growth rate than both EU and US, but also still has some distance to cover. For </w:t>
      </w:r>
      <w:proofErr w:type="spellStart"/>
      <w:r w:rsidRPr="00E04A13">
        <w:rPr>
          <w:lang w:val="en-GB"/>
        </w:rPr>
        <w:t>Biofuels</w:t>
      </w:r>
      <w:proofErr w:type="spellEnd"/>
      <w:r w:rsidRPr="00E04A13">
        <w:rPr>
          <w:lang w:val="en-GB"/>
        </w:rPr>
        <w:t>, the EU position is weaker to begin with, and added to this growth in patents is lower than in China and the US.</w:t>
      </w:r>
    </w:p>
    <w:p w:rsidR="009775D7" w:rsidRPr="00E04A13" w:rsidRDefault="009775D7" w:rsidP="009775D7">
      <w:pPr>
        <w:keepNext/>
        <w:rPr>
          <w:lang w:val="en-GB"/>
        </w:rPr>
      </w:pPr>
      <w:r w:rsidRPr="00E04A13">
        <w:rPr>
          <w:noProof/>
        </w:rPr>
        <w:drawing>
          <wp:inline distT="0" distB="0" distL="0" distR="0">
            <wp:extent cx="4733618" cy="2924357"/>
            <wp:effectExtent l="2540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3" cstate="print"/>
                    <a:srcRect/>
                    <a:stretch>
                      <a:fillRect/>
                    </a:stretch>
                  </pic:blipFill>
                  <pic:spPr bwMode="auto">
                    <a:xfrm>
                      <a:off x="0" y="0"/>
                      <a:ext cx="4733618" cy="2924357"/>
                    </a:xfrm>
                    <a:prstGeom prst="rect">
                      <a:avLst/>
                    </a:prstGeom>
                    <a:noFill/>
                    <a:ln w="9525">
                      <a:noFill/>
                      <a:miter lim="800000"/>
                      <a:headEnd/>
                      <a:tailEnd/>
                    </a:ln>
                  </pic:spPr>
                </pic:pic>
              </a:graphicData>
            </a:graphic>
          </wp:inline>
        </w:drawing>
      </w:r>
    </w:p>
    <w:p w:rsidR="009775D7" w:rsidRPr="00E04A13" w:rsidRDefault="009775D7" w:rsidP="009775D7">
      <w:pPr>
        <w:pStyle w:val="Caption"/>
        <w:rPr>
          <w:lang w:val="en-GB"/>
        </w:rPr>
      </w:pPr>
      <w:bookmarkStart w:id="22" w:name="_Toc249437488"/>
      <w:r w:rsidRPr="00E04A13">
        <w:rPr>
          <w:lang w:val="en-GB"/>
        </w:rPr>
        <w:t xml:space="preserve">Figure </w:t>
      </w:r>
      <w:r w:rsidR="00EA4FE5" w:rsidRPr="00E04A13">
        <w:rPr>
          <w:lang w:val="en-GB"/>
        </w:rPr>
        <w:fldChar w:fldCharType="begin"/>
      </w:r>
      <w:r w:rsidR="00053139" w:rsidRPr="00E04A13">
        <w:rPr>
          <w:lang w:val="en-GB"/>
        </w:rPr>
        <w:instrText xml:space="preserve"> SEQ Figure \* ARABIC </w:instrText>
      </w:r>
      <w:r w:rsidR="00EA4FE5" w:rsidRPr="00E04A13">
        <w:rPr>
          <w:lang w:val="en-GB"/>
        </w:rPr>
        <w:fldChar w:fldCharType="separate"/>
      </w:r>
      <w:r w:rsidR="00503F5D">
        <w:rPr>
          <w:noProof/>
          <w:lang w:val="en-GB"/>
        </w:rPr>
        <w:t>6</w:t>
      </w:r>
      <w:r w:rsidR="00EA4FE5" w:rsidRPr="00E04A13">
        <w:rPr>
          <w:lang w:val="en-GB"/>
        </w:rPr>
        <w:fldChar w:fldCharType="end"/>
      </w:r>
      <w:r w:rsidRPr="00E04A13">
        <w:rPr>
          <w:lang w:val="en-GB"/>
        </w:rPr>
        <w:t>: Number of patent applications for selected renewable energy technologies in the EU, China and the US, 2000 - 2009. Source: OECD ENV-Tech Indicator Set</w:t>
      </w:r>
      <w:bookmarkEnd w:id="22"/>
    </w:p>
    <w:p w:rsidR="009775D7" w:rsidRPr="00E04A13" w:rsidRDefault="009775D7" w:rsidP="009775D7">
      <w:pPr>
        <w:rPr>
          <w:lang w:val="en-GB"/>
        </w:rPr>
      </w:pPr>
      <w:r w:rsidRPr="00E04A13">
        <w:rPr>
          <w:lang w:val="en-GB"/>
        </w:rPr>
        <w:t xml:space="preserve">For energy efficiency technologies, the picture is similar to renewables in the sense that patenting activity has accelerated markedly since 2005. Also notable is the outlier year 2008, when growth in patenting was much lower than in the preceding and the following year (mostly due to a falling number of patents for electric vehicle technologies in Europe). In terms of technological leadership, Europe is well-positioned: among the three countries and regions, the EU accounted for 70% of patents in electric vehicle technologies in 2009, for almost two thirds of insulation technologies, and just below half of energy storage. Also, the EU has the highest growth rate for patents on electric vehicle technologies in 2006/2007 – 2008/2009, and is on par with China for patent growth in energy storage technologies. </w:t>
      </w:r>
    </w:p>
    <w:p w:rsidR="009775D7" w:rsidRPr="00E04A13" w:rsidRDefault="009775D7" w:rsidP="009775D7">
      <w:pPr>
        <w:keepNext/>
        <w:rPr>
          <w:lang w:val="en-GB"/>
        </w:rPr>
      </w:pPr>
      <w:r w:rsidRPr="00E04A13">
        <w:rPr>
          <w:noProof/>
        </w:rPr>
        <w:drawing>
          <wp:inline distT="0" distB="0" distL="0" distR="0">
            <wp:extent cx="4744924" cy="2944186"/>
            <wp:effectExtent l="25400" t="0" r="4876"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4" cstate="print"/>
                    <a:srcRect/>
                    <a:stretch>
                      <a:fillRect/>
                    </a:stretch>
                  </pic:blipFill>
                  <pic:spPr bwMode="auto">
                    <a:xfrm>
                      <a:off x="0" y="0"/>
                      <a:ext cx="4744924" cy="2944186"/>
                    </a:xfrm>
                    <a:prstGeom prst="rect">
                      <a:avLst/>
                    </a:prstGeom>
                    <a:noFill/>
                    <a:ln w="9525">
                      <a:noFill/>
                      <a:miter lim="800000"/>
                      <a:headEnd/>
                      <a:tailEnd/>
                    </a:ln>
                  </pic:spPr>
                </pic:pic>
              </a:graphicData>
            </a:graphic>
          </wp:inline>
        </w:drawing>
      </w:r>
    </w:p>
    <w:p w:rsidR="009775D7" w:rsidRPr="00E04A13" w:rsidRDefault="009775D7" w:rsidP="009775D7">
      <w:pPr>
        <w:pStyle w:val="Caption"/>
        <w:rPr>
          <w:lang w:val="en-GB"/>
        </w:rPr>
      </w:pPr>
      <w:bookmarkStart w:id="23" w:name="_Toc249437489"/>
      <w:r w:rsidRPr="00E04A13">
        <w:rPr>
          <w:lang w:val="en-GB"/>
        </w:rPr>
        <w:t xml:space="preserve">Figure </w:t>
      </w:r>
      <w:r w:rsidR="00EA4FE5" w:rsidRPr="00E04A13">
        <w:rPr>
          <w:lang w:val="en-GB"/>
        </w:rPr>
        <w:fldChar w:fldCharType="begin"/>
      </w:r>
      <w:r w:rsidR="00053139" w:rsidRPr="00E04A13">
        <w:rPr>
          <w:lang w:val="en-GB"/>
        </w:rPr>
        <w:instrText xml:space="preserve"> SEQ Figure \* ARABIC </w:instrText>
      </w:r>
      <w:r w:rsidR="00EA4FE5" w:rsidRPr="00E04A13">
        <w:rPr>
          <w:lang w:val="en-GB"/>
        </w:rPr>
        <w:fldChar w:fldCharType="separate"/>
      </w:r>
      <w:r w:rsidR="00503F5D">
        <w:rPr>
          <w:noProof/>
          <w:lang w:val="en-GB"/>
        </w:rPr>
        <w:t>7</w:t>
      </w:r>
      <w:r w:rsidR="00EA4FE5" w:rsidRPr="00E04A13">
        <w:rPr>
          <w:lang w:val="en-GB"/>
        </w:rPr>
        <w:fldChar w:fldCharType="end"/>
      </w:r>
      <w:r w:rsidRPr="00E04A13">
        <w:rPr>
          <w:lang w:val="en-GB"/>
        </w:rPr>
        <w:t>: Number of patent applications for selected energy efficiency technologies in the EU, China and the US, 2000 - 2009. Source: OECD ENV-Tech Indicator Set</w:t>
      </w:r>
      <w:bookmarkEnd w:id="23"/>
    </w:p>
    <w:p w:rsidR="009775D7" w:rsidRPr="00E04A13" w:rsidRDefault="009775D7" w:rsidP="009775D7">
      <w:pPr>
        <w:rPr>
          <w:lang w:val="en-GB"/>
        </w:rPr>
      </w:pPr>
      <w:r w:rsidRPr="00E04A13">
        <w:rPr>
          <w:lang w:val="en-GB"/>
        </w:rPr>
        <w:t xml:space="preserve">Finally, the following table presents an overview of the data presented in the graphs above, focusing here on the each country or region’s share of patenting activity among the three, as well as the annual growth of patent applications between 2006/2007 and 2008/2009 (i.e. based on the respective two-year average figures). From a European perspective, the table demonstrates that the EU is very well positioned for waste management and electric vehicles – and, to a lesser degree, energy storage – where it leads innovation activity with an increasing margin. For a number of technologies, such as air and water pollution abatement, wind energy and insulation, the EU is currently the technological leader, but the gap is closing particularly due to rapid innovation in China. Finally, for solar PV and in particular for </w:t>
      </w:r>
      <w:proofErr w:type="spellStart"/>
      <w:r w:rsidRPr="00E04A13">
        <w:rPr>
          <w:lang w:val="en-GB"/>
        </w:rPr>
        <w:t>biofuels</w:t>
      </w:r>
      <w:proofErr w:type="spellEnd"/>
      <w:r w:rsidRPr="00E04A13">
        <w:rPr>
          <w:lang w:val="en-GB"/>
        </w:rPr>
        <w:t>, the EU is neither the technological leader nor does it feature the highest growth rates.</w:t>
      </w:r>
    </w:p>
    <w:p w:rsidR="009775D7" w:rsidRPr="00E04A13" w:rsidRDefault="009775D7" w:rsidP="009775D7">
      <w:pPr>
        <w:pStyle w:val="Caption"/>
        <w:keepNext/>
        <w:rPr>
          <w:lang w:val="en-GB"/>
        </w:rPr>
      </w:pPr>
      <w:bookmarkStart w:id="24" w:name="_Toc252202022"/>
      <w:r w:rsidRPr="00E04A13">
        <w:rPr>
          <w:lang w:val="en-GB"/>
        </w:rPr>
        <w:t xml:space="preserve">Table </w:t>
      </w:r>
      <w:r w:rsidR="00EA4FE5" w:rsidRPr="00E04A13">
        <w:rPr>
          <w:lang w:val="en-GB"/>
        </w:rPr>
        <w:fldChar w:fldCharType="begin"/>
      </w:r>
      <w:r w:rsidR="00053139" w:rsidRPr="00E04A13">
        <w:rPr>
          <w:lang w:val="en-GB"/>
        </w:rPr>
        <w:instrText xml:space="preserve"> SEQ Table \* ARABIC </w:instrText>
      </w:r>
      <w:r w:rsidR="00EA4FE5" w:rsidRPr="00E04A13">
        <w:rPr>
          <w:lang w:val="en-GB"/>
        </w:rPr>
        <w:fldChar w:fldCharType="separate"/>
      </w:r>
      <w:r w:rsidR="00503F5D">
        <w:rPr>
          <w:noProof/>
          <w:lang w:val="en-GB"/>
        </w:rPr>
        <w:t>3</w:t>
      </w:r>
      <w:r w:rsidR="00EA4FE5" w:rsidRPr="00E04A13">
        <w:rPr>
          <w:lang w:val="en-GB"/>
        </w:rPr>
        <w:fldChar w:fldCharType="end"/>
      </w:r>
      <w:r w:rsidRPr="00E04A13">
        <w:rPr>
          <w:lang w:val="en-GB"/>
        </w:rPr>
        <w:t>: Shares and growth rates of patent applications for environment-related technologies, EU, China and USA</w:t>
      </w:r>
      <w:bookmarkEnd w:id="24"/>
    </w:p>
    <w:tbl>
      <w:tblPr>
        <w:tblStyle w:val="TableGrid"/>
        <w:tblW w:w="0" w:type="auto"/>
        <w:tblLook w:val="00BF"/>
      </w:tblPr>
      <w:tblGrid>
        <w:gridCol w:w="2802"/>
        <w:gridCol w:w="1081"/>
        <w:gridCol w:w="1081"/>
        <w:gridCol w:w="1081"/>
        <w:gridCol w:w="1081"/>
        <w:gridCol w:w="1081"/>
        <w:gridCol w:w="1081"/>
      </w:tblGrid>
      <w:tr w:rsidR="009775D7" w:rsidRPr="00E04A13">
        <w:tc>
          <w:tcPr>
            <w:tcW w:w="2802" w:type="dxa"/>
          </w:tcPr>
          <w:p w:rsidR="009775D7" w:rsidRPr="00E04A13" w:rsidRDefault="009775D7" w:rsidP="009775D7">
            <w:pPr>
              <w:rPr>
                <w:lang w:val="en-GB"/>
              </w:rPr>
            </w:pPr>
          </w:p>
        </w:tc>
        <w:tc>
          <w:tcPr>
            <w:tcW w:w="2162" w:type="dxa"/>
            <w:gridSpan w:val="2"/>
            <w:vAlign w:val="bottom"/>
          </w:tcPr>
          <w:p w:rsidR="009775D7" w:rsidRPr="00E04A13" w:rsidRDefault="009775D7" w:rsidP="009775D7">
            <w:pPr>
              <w:jc w:val="center"/>
              <w:rPr>
                <w:lang w:val="en-GB"/>
              </w:rPr>
            </w:pPr>
            <w:r w:rsidRPr="00E04A13">
              <w:rPr>
                <w:lang w:val="en-GB"/>
              </w:rPr>
              <w:t>EU-28</w:t>
            </w:r>
          </w:p>
        </w:tc>
        <w:tc>
          <w:tcPr>
            <w:tcW w:w="2162" w:type="dxa"/>
            <w:gridSpan w:val="2"/>
            <w:vAlign w:val="bottom"/>
          </w:tcPr>
          <w:p w:rsidR="009775D7" w:rsidRPr="00E04A13" w:rsidRDefault="009775D7" w:rsidP="009775D7">
            <w:pPr>
              <w:jc w:val="center"/>
              <w:rPr>
                <w:lang w:val="en-GB"/>
              </w:rPr>
            </w:pPr>
            <w:r w:rsidRPr="00E04A13">
              <w:rPr>
                <w:lang w:val="en-GB"/>
              </w:rPr>
              <w:t>China</w:t>
            </w:r>
          </w:p>
        </w:tc>
        <w:tc>
          <w:tcPr>
            <w:tcW w:w="2162" w:type="dxa"/>
            <w:gridSpan w:val="2"/>
            <w:vAlign w:val="bottom"/>
          </w:tcPr>
          <w:p w:rsidR="009775D7" w:rsidRPr="00E04A13" w:rsidRDefault="009775D7" w:rsidP="009775D7">
            <w:pPr>
              <w:jc w:val="center"/>
              <w:rPr>
                <w:lang w:val="en-GB"/>
              </w:rPr>
            </w:pPr>
            <w:r w:rsidRPr="00E04A13">
              <w:rPr>
                <w:lang w:val="en-GB"/>
              </w:rPr>
              <w:t>USA</w:t>
            </w:r>
          </w:p>
        </w:tc>
      </w:tr>
      <w:tr w:rsidR="009775D7" w:rsidRPr="00E04A13">
        <w:tc>
          <w:tcPr>
            <w:tcW w:w="2802" w:type="dxa"/>
          </w:tcPr>
          <w:p w:rsidR="009775D7" w:rsidRPr="00E04A13" w:rsidRDefault="009775D7" w:rsidP="009775D7">
            <w:pPr>
              <w:rPr>
                <w:lang w:val="en-GB"/>
              </w:rPr>
            </w:pPr>
          </w:p>
        </w:tc>
        <w:tc>
          <w:tcPr>
            <w:tcW w:w="1081" w:type="dxa"/>
            <w:vAlign w:val="bottom"/>
          </w:tcPr>
          <w:p w:rsidR="009775D7" w:rsidRPr="00E04A13" w:rsidRDefault="009775D7" w:rsidP="009775D7">
            <w:pPr>
              <w:rPr>
                <w:lang w:val="en-GB"/>
              </w:rPr>
            </w:pPr>
            <w:r w:rsidRPr="00E04A13">
              <w:rPr>
                <w:lang w:val="en-GB"/>
              </w:rPr>
              <w:t>Share</w:t>
            </w:r>
          </w:p>
        </w:tc>
        <w:tc>
          <w:tcPr>
            <w:tcW w:w="1081" w:type="dxa"/>
            <w:vAlign w:val="bottom"/>
          </w:tcPr>
          <w:p w:rsidR="009775D7" w:rsidRPr="00E04A13" w:rsidRDefault="009775D7">
            <w:pPr>
              <w:rPr>
                <w:lang w:val="en-GB"/>
              </w:rPr>
            </w:pPr>
            <w:r w:rsidRPr="00E04A13">
              <w:rPr>
                <w:lang w:val="en-GB"/>
              </w:rPr>
              <w:t>Growth rate</w:t>
            </w:r>
          </w:p>
        </w:tc>
        <w:tc>
          <w:tcPr>
            <w:tcW w:w="1081" w:type="dxa"/>
            <w:vAlign w:val="bottom"/>
          </w:tcPr>
          <w:p w:rsidR="009775D7" w:rsidRPr="00E04A13" w:rsidRDefault="009775D7">
            <w:pPr>
              <w:rPr>
                <w:lang w:val="en-GB"/>
              </w:rPr>
            </w:pPr>
            <w:r w:rsidRPr="00E04A13">
              <w:rPr>
                <w:lang w:val="en-GB"/>
              </w:rPr>
              <w:t>Share</w:t>
            </w:r>
          </w:p>
        </w:tc>
        <w:tc>
          <w:tcPr>
            <w:tcW w:w="1081" w:type="dxa"/>
            <w:vAlign w:val="bottom"/>
          </w:tcPr>
          <w:p w:rsidR="009775D7" w:rsidRPr="00E04A13" w:rsidRDefault="009775D7">
            <w:pPr>
              <w:rPr>
                <w:lang w:val="en-GB"/>
              </w:rPr>
            </w:pPr>
            <w:r w:rsidRPr="00E04A13">
              <w:rPr>
                <w:lang w:val="en-GB"/>
              </w:rPr>
              <w:t>Growth rate</w:t>
            </w:r>
          </w:p>
        </w:tc>
        <w:tc>
          <w:tcPr>
            <w:tcW w:w="1081" w:type="dxa"/>
            <w:vAlign w:val="bottom"/>
          </w:tcPr>
          <w:p w:rsidR="009775D7" w:rsidRPr="00E04A13" w:rsidRDefault="009775D7">
            <w:pPr>
              <w:rPr>
                <w:lang w:val="en-GB"/>
              </w:rPr>
            </w:pPr>
            <w:r w:rsidRPr="00E04A13">
              <w:rPr>
                <w:lang w:val="en-GB"/>
              </w:rPr>
              <w:t>Share</w:t>
            </w:r>
          </w:p>
        </w:tc>
        <w:tc>
          <w:tcPr>
            <w:tcW w:w="1081" w:type="dxa"/>
            <w:vAlign w:val="bottom"/>
          </w:tcPr>
          <w:p w:rsidR="009775D7" w:rsidRPr="00E04A13" w:rsidRDefault="009775D7">
            <w:pPr>
              <w:rPr>
                <w:lang w:val="en-GB"/>
              </w:rPr>
            </w:pPr>
            <w:r w:rsidRPr="00E04A13">
              <w:rPr>
                <w:lang w:val="en-GB"/>
              </w:rPr>
              <w:t>Growth rate</w:t>
            </w:r>
          </w:p>
        </w:tc>
      </w:tr>
      <w:tr w:rsidR="009775D7" w:rsidRPr="00E04A13">
        <w:tc>
          <w:tcPr>
            <w:tcW w:w="2802" w:type="dxa"/>
            <w:vAlign w:val="bottom"/>
          </w:tcPr>
          <w:p w:rsidR="009775D7" w:rsidRPr="00E04A13" w:rsidRDefault="009775D7">
            <w:pPr>
              <w:rPr>
                <w:lang w:val="en-GB"/>
              </w:rPr>
            </w:pPr>
            <w:r w:rsidRPr="00E04A13">
              <w:rPr>
                <w:lang w:val="en-GB"/>
              </w:rPr>
              <w:t>Air pollution abatement</w:t>
            </w:r>
          </w:p>
        </w:tc>
        <w:tc>
          <w:tcPr>
            <w:tcW w:w="1081" w:type="dxa"/>
            <w:vAlign w:val="bottom"/>
          </w:tcPr>
          <w:p w:rsidR="009775D7" w:rsidRPr="00E04A13" w:rsidRDefault="009775D7">
            <w:pPr>
              <w:jc w:val="right"/>
              <w:rPr>
                <w:lang w:val="en-GB"/>
              </w:rPr>
            </w:pPr>
            <w:r w:rsidRPr="00E04A13">
              <w:rPr>
                <w:lang w:val="en-GB"/>
              </w:rPr>
              <w:t>60</w:t>
            </w:r>
            <w:r w:rsidR="00AF37AC">
              <w:rPr>
                <w:lang w:val="en-GB"/>
              </w:rPr>
              <w:t>.</w:t>
            </w:r>
            <w:r w:rsidRPr="00E04A13">
              <w:rPr>
                <w:lang w:val="en-GB"/>
              </w:rPr>
              <w:t>2%</w:t>
            </w:r>
          </w:p>
        </w:tc>
        <w:tc>
          <w:tcPr>
            <w:tcW w:w="1081" w:type="dxa"/>
            <w:vAlign w:val="bottom"/>
          </w:tcPr>
          <w:p w:rsidR="009775D7" w:rsidRPr="00E04A13" w:rsidRDefault="009775D7">
            <w:pPr>
              <w:jc w:val="right"/>
              <w:rPr>
                <w:lang w:val="en-GB"/>
              </w:rPr>
            </w:pPr>
            <w:r w:rsidRPr="00E04A13">
              <w:rPr>
                <w:lang w:val="en-GB"/>
              </w:rPr>
              <w:t>-0</w:t>
            </w:r>
            <w:r w:rsidR="00AF37AC">
              <w:rPr>
                <w:lang w:val="en-GB"/>
              </w:rPr>
              <w:t>.</w:t>
            </w:r>
            <w:r w:rsidRPr="00E04A13">
              <w:rPr>
                <w:lang w:val="en-GB"/>
              </w:rPr>
              <w:t>3%</w:t>
            </w:r>
          </w:p>
        </w:tc>
        <w:tc>
          <w:tcPr>
            <w:tcW w:w="1081" w:type="dxa"/>
            <w:vAlign w:val="bottom"/>
          </w:tcPr>
          <w:p w:rsidR="009775D7" w:rsidRPr="00E04A13" w:rsidRDefault="009775D7">
            <w:pPr>
              <w:jc w:val="right"/>
              <w:rPr>
                <w:lang w:val="en-GB"/>
              </w:rPr>
            </w:pPr>
            <w:r w:rsidRPr="00E04A13">
              <w:rPr>
                <w:lang w:val="en-GB"/>
              </w:rPr>
              <w:t>2</w:t>
            </w:r>
            <w:r w:rsidR="00AF37AC">
              <w:rPr>
                <w:lang w:val="en-GB"/>
              </w:rPr>
              <w:t>.</w:t>
            </w:r>
            <w:r w:rsidRPr="00E04A13">
              <w:rPr>
                <w:lang w:val="en-GB"/>
              </w:rPr>
              <w:t>1%</w:t>
            </w:r>
          </w:p>
        </w:tc>
        <w:tc>
          <w:tcPr>
            <w:tcW w:w="1081" w:type="dxa"/>
            <w:vAlign w:val="bottom"/>
          </w:tcPr>
          <w:p w:rsidR="009775D7" w:rsidRPr="00E04A13" w:rsidRDefault="009775D7">
            <w:pPr>
              <w:jc w:val="right"/>
              <w:rPr>
                <w:lang w:val="en-GB"/>
              </w:rPr>
            </w:pPr>
            <w:r w:rsidRPr="00E04A13">
              <w:rPr>
                <w:lang w:val="en-GB"/>
              </w:rPr>
              <w:t>14</w:t>
            </w:r>
            <w:r w:rsidR="00AF37AC">
              <w:rPr>
                <w:lang w:val="en-GB"/>
              </w:rPr>
              <w:t>.</w:t>
            </w:r>
            <w:r w:rsidRPr="00E04A13">
              <w:rPr>
                <w:lang w:val="en-GB"/>
              </w:rPr>
              <w:t>4%</w:t>
            </w:r>
          </w:p>
        </w:tc>
        <w:tc>
          <w:tcPr>
            <w:tcW w:w="1081" w:type="dxa"/>
            <w:vAlign w:val="bottom"/>
          </w:tcPr>
          <w:p w:rsidR="009775D7" w:rsidRPr="00E04A13" w:rsidRDefault="009775D7">
            <w:pPr>
              <w:jc w:val="right"/>
              <w:rPr>
                <w:lang w:val="en-GB"/>
              </w:rPr>
            </w:pPr>
            <w:r w:rsidRPr="00E04A13">
              <w:rPr>
                <w:lang w:val="en-GB"/>
              </w:rPr>
              <w:t>37</w:t>
            </w:r>
            <w:r w:rsidR="00AF37AC">
              <w:rPr>
                <w:lang w:val="en-GB"/>
              </w:rPr>
              <w:t>.</w:t>
            </w:r>
            <w:r w:rsidRPr="00E04A13">
              <w:rPr>
                <w:lang w:val="en-GB"/>
              </w:rPr>
              <w:t>6%</w:t>
            </w:r>
          </w:p>
        </w:tc>
        <w:tc>
          <w:tcPr>
            <w:tcW w:w="1081" w:type="dxa"/>
            <w:vAlign w:val="bottom"/>
          </w:tcPr>
          <w:p w:rsidR="009775D7" w:rsidRPr="00E04A13" w:rsidRDefault="009775D7">
            <w:pPr>
              <w:jc w:val="right"/>
              <w:rPr>
                <w:lang w:val="en-GB"/>
              </w:rPr>
            </w:pPr>
            <w:r w:rsidRPr="00E04A13">
              <w:rPr>
                <w:lang w:val="en-GB"/>
              </w:rPr>
              <w:t>-5</w:t>
            </w:r>
            <w:r w:rsidR="00AF37AC">
              <w:rPr>
                <w:lang w:val="en-GB"/>
              </w:rPr>
              <w:t>.</w:t>
            </w:r>
            <w:r w:rsidRPr="00E04A13">
              <w:rPr>
                <w:lang w:val="en-GB"/>
              </w:rPr>
              <w:t>9%</w:t>
            </w:r>
          </w:p>
        </w:tc>
      </w:tr>
      <w:tr w:rsidR="009775D7" w:rsidRPr="00E04A13">
        <w:tc>
          <w:tcPr>
            <w:tcW w:w="2802" w:type="dxa"/>
            <w:vAlign w:val="bottom"/>
          </w:tcPr>
          <w:p w:rsidR="009775D7" w:rsidRPr="00E04A13" w:rsidRDefault="009775D7">
            <w:pPr>
              <w:rPr>
                <w:lang w:val="en-GB"/>
              </w:rPr>
            </w:pPr>
            <w:r w:rsidRPr="00E04A13">
              <w:rPr>
                <w:lang w:val="en-GB"/>
              </w:rPr>
              <w:t>Water pollution abatement</w:t>
            </w:r>
          </w:p>
        </w:tc>
        <w:tc>
          <w:tcPr>
            <w:tcW w:w="1081" w:type="dxa"/>
            <w:vAlign w:val="bottom"/>
          </w:tcPr>
          <w:p w:rsidR="009775D7" w:rsidRPr="00E04A13" w:rsidRDefault="009775D7">
            <w:pPr>
              <w:jc w:val="right"/>
              <w:rPr>
                <w:lang w:val="en-GB"/>
              </w:rPr>
            </w:pPr>
            <w:r w:rsidRPr="00E04A13">
              <w:rPr>
                <w:lang w:val="en-GB"/>
              </w:rPr>
              <w:t>54</w:t>
            </w:r>
            <w:r w:rsidR="00AF37AC">
              <w:rPr>
                <w:lang w:val="en-GB"/>
              </w:rPr>
              <w:t>.</w:t>
            </w:r>
            <w:r w:rsidRPr="00E04A13">
              <w:rPr>
                <w:lang w:val="en-GB"/>
              </w:rPr>
              <w:t>9%</w:t>
            </w:r>
          </w:p>
        </w:tc>
        <w:tc>
          <w:tcPr>
            <w:tcW w:w="1081" w:type="dxa"/>
            <w:vAlign w:val="bottom"/>
          </w:tcPr>
          <w:p w:rsidR="009775D7" w:rsidRPr="00E04A13" w:rsidRDefault="009775D7">
            <w:pPr>
              <w:jc w:val="right"/>
              <w:rPr>
                <w:lang w:val="en-GB"/>
              </w:rPr>
            </w:pPr>
            <w:r w:rsidRPr="00E04A13">
              <w:rPr>
                <w:lang w:val="en-GB"/>
              </w:rPr>
              <w:t>4</w:t>
            </w:r>
            <w:r w:rsidR="00AF37AC">
              <w:rPr>
                <w:lang w:val="en-GB"/>
              </w:rPr>
              <w:t>.</w:t>
            </w:r>
            <w:r w:rsidRPr="00E04A13">
              <w:rPr>
                <w:lang w:val="en-GB"/>
              </w:rPr>
              <w:t>2%</w:t>
            </w:r>
          </w:p>
        </w:tc>
        <w:tc>
          <w:tcPr>
            <w:tcW w:w="1081" w:type="dxa"/>
            <w:vAlign w:val="bottom"/>
          </w:tcPr>
          <w:p w:rsidR="009775D7" w:rsidRPr="00E04A13" w:rsidRDefault="009775D7">
            <w:pPr>
              <w:jc w:val="right"/>
              <w:rPr>
                <w:lang w:val="en-GB"/>
              </w:rPr>
            </w:pPr>
            <w:r w:rsidRPr="00E04A13">
              <w:rPr>
                <w:lang w:val="en-GB"/>
              </w:rPr>
              <w:t>9</w:t>
            </w:r>
            <w:r w:rsidR="00AF37AC">
              <w:rPr>
                <w:lang w:val="en-GB"/>
              </w:rPr>
              <w:t>.</w:t>
            </w:r>
            <w:r w:rsidRPr="00E04A13">
              <w:rPr>
                <w:lang w:val="en-GB"/>
              </w:rPr>
              <w:t>4%</w:t>
            </w:r>
          </w:p>
        </w:tc>
        <w:tc>
          <w:tcPr>
            <w:tcW w:w="1081" w:type="dxa"/>
            <w:vAlign w:val="bottom"/>
          </w:tcPr>
          <w:p w:rsidR="009775D7" w:rsidRPr="00E04A13" w:rsidRDefault="009775D7">
            <w:pPr>
              <w:jc w:val="right"/>
              <w:rPr>
                <w:lang w:val="en-GB"/>
              </w:rPr>
            </w:pPr>
            <w:r w:rsidRPr="00E04A13">
              <w:rPr>
                <w:lang w:val="en-GB"/>
              </w:rPr>
              <w:t>14</w:t>
            </w:r>
            <w:r w:rsidR="00AF37AC">
              <w:rPr>
                <w:lang w:val="en-GB"/>
              </w:rPr>
              <w:t>.</w:t>
            </w:r>
            <w:r w:rsidRPr="00E04A13">
              <w:rPr>
                <w:lang w:val="en-GB"/>
              </w:rPr>
              <w:t>2%</w:t>
            </w:r>
          </w:p>
        </w:tc>
        <w:tc>
          <w:tcPr>
            <w:tcW w:w="1081" w:type="dxa"/>
            <w:vAlign w:val="bottom"/>
          </w:tcPr>
          <w:p w:rsidR="009775D7" w:rsidRPr="00E04A13" w:rsidRDefault="009775D7">
            <w:pPr>
              <w:jc w:val="right"/>
              <w:rPr>
                <w:lang w:val="en-GB"/>
              </w:rPr>
            </w:pPr>
            <w:r w:rsidRPr="00E04A13">
              <w:rPr>
                <w:lang w:val="en-GB"/>
              </w:rPr>
              <w:t>35</w:t>
            </w:r>
            <w:r w:rsidR="00AF37AC">
              <w:rPr>
                <w:lang w:val="en-GB"/>
              </w:rPr>
              <w:t>.</w:t>
            </w:r>
            <w:r w:rsidRPr="00E04A13">
              <w:rPr>
                <w:lang w:val="en-GB"/>
              </w:rPr>
              <w:t>7%</w:t>
            </w:r>
          </w:p>
        </w:tc>
        <w:tc>
          <w:tcPr>
            <w:tcW w:w="1081" w:type="dxa"/>
            <w:vAlign w:val="bottom"/>
          </w:tcPr>
          <w:p w:rsidR="009775D7" w:rsidRPr="00E04A13" w:rsidRDefault="009775D7">
            <w:pPr>
              <w:jc w:val="right"/>
              <w:rPr>
                <w:lang w:val="en-GB"/>
              </w:rPr>
            </w:pPr>
            <w:r w:rsidRPr="00E04A13">
              <w:rPr>
                <w:lang w:val="en-GB"/>
              </w:rPr>
              <w:t>-5</w:t>
            </w:r>
            <w:r w:rsidR="00AF37AC">
              <w:rPr>
                <w:lang w:val="en-GB"/>
              </w:rPr>
              <w:t>.</w:t>
            </w:r>
            <w:r w:rsidRPr="00E04A13">
              <w:rPr>
                <w:lang w:val="en-GB"/>
              </w:rPr>
              <w:t>0%</w:t>
            </w:r>
          </w:p>
        </w:tc>
      </w:tr>
      <w:tr w:rsidR="009775D7" w:rsidRPr="00E04A13">
        <w:tc>
          <w:tcPr>
            <w:tcW w:w="2802" w:type="dxa"/>
            <w:vAlign w:val="bottom"/>
          </w:tcPr>
          <w:p w:rsidR="009775D7" w:rsidRPr="00E04A13" w:rsidRDefault="009775D7">
            <w:pPr>
              <w:rPr>
                <w:lang w:val="en-GB"/>
              </w:rPr>
            </w:pPr>
            <w:r w:rsidRPr="00E04A13">
              <w:rPr>
                <w:lang w:val="en-GB"/>
              </w:rPr>
              <w:t>Waste management</w:t>
            </w:r>
          </w:p>
        </w:tc>
        <w:tc>
          <w:tcPr>
            <w:tcW w:w="1081" w:type="dxa"/>
            <w:vAlign w:val="bottom"/>
          </w:tcPr>
          <w:p w:rsidR="009775D7" w:rsidRPr="00E04A13" w:rsidRDefault="009775D7">
            <w:pPr>
              <w:jc w:val="right"/>
              <w:rPr>
                <w:lang w:val="en-GB"/>
              </w:rPr>
            </w:pPr>
            <w:r w:rsidRPr="00E04A13">
              <w:rPr>
                <w:lang w:val="en-GB"/>
              </w:rPr>
              <w:t>64</w:t>
            </w:r>
            <w:r w:rsidR="00AF37AC">
              <w:rPr>
                <w:lang w:val="en-GB"/>
              </w:rPr>
              <w:t>.</w:t>
            </w:r>
            <w:r w:rsidRPr="00E04A13">
              <w:rPr>
                <w:lang w:val="en-GB"/>
              </w:rPr>
              <w:t>6%</w:t>
            </w:r>
          </w:p>
        </w:tc>
        <w:tc>
          <w:tcPr>
            <w:tcW w:w="1081" w:type="dxa"/>
            <w:vAlign w:val="bottom"/>
          </w:tcPr>
          <w:p w:rsidR="009775D7" w:rsidRPr="00E04A13" w:rsidRDefault="009775D7">
            <w:pPr>
              <w:jc w:val="right"/>
              <w:rPr>
                <w:lang w:val="en-GB"/>
              </w:rPr>
            </w:pPr>
            <w:r w:rsidRPr="00E04A13">
              <w:rPr>
                <w:lang w:val="en-GB"/>
              </w:rPr>
              <w:t>8</w:t>
            </w:r>
            <w:r w:rsidR="00AF37AC">
              <w:rPr>
                <w:lang w:val="en-GB"/>
              </w:rPr>
              <w:t>.</w:t>
            </w:r>
            <w:r w:rsidRPr="00E04A13">
              <w:rPr>
                <w:lang w:val="en-GB"/>
              </w:rPr>
              <w:t>1%</w:t>
            </w:r>
          </w:p>
        </w:tc>
        <w:tc>
          <w:tcPr>
            <w:tcW w:w="1081" w:type="dxa"/>
            <w:vAlign w:val="bottom"/>
          </w:tcPr>
          <w:p w:rsidR="009775D7" w:rsidRPr="00E04A13" w:rsidRDefault="009775D7">
            <w:pPr>
              <w:jc w:val="right"/>
              <w:rPr>
                <w:lang w:val="en-GB"/>
              </w:rPr>
            </w:pPr>
            <w:r w:rsidRPr="00E04A13">
              <w:rPr>
                <w:lang w:val="en-GB"/>
              </w:rPr>
              <w:t>7</w:t>
            </w:r>
            <w:r w:rsidR="00AF37AC">
              <w:rPr>
                <w:lang w:val="en-GB"/>
              </w:rPr>
              <w:t>.</w:t>
            </w:r>
            <w:r w:rsidRPr="00E04A13">
              <w:rPr>
                <w:lang w:val="en-GB"/>
              </w:rPr>
              <w:t>9%</w:t>
            </w:r>
          </w:p>
        </w:tc>
        <w:tc>
          <w:tcPr>
            <w:tcW w:w="1081" w:type="dxa"/>
            <w:vAlign w:val="bottom"/>
          </w:tcPr>
          <w:p w:rsidR="009775D7" w:rsidRPr="00E04A13" w:rsidRDefault="009775D7">
            <w:pPr>
              <w:jc w:val="right"/>
              <w:rPr>
                <w:lang w:val="en-GB"/>
              </w:rPr>
            </w:pPr>
            <w:r w:rsidRPr="00E04A13">
              <w:rPr>
                <w:lang w:val="en-GB"/>
              </w:rPr>
              <w:t>4</w:t>
            </w:r>
            <w:r w:rsidR="00AF37AC">
              <w:rPr>
                <w:lang w:val="en-GB"/>
              </w:rPr>
              <w:t>.</w:t>
            </w:r>
            <w:r w:rsidRPr="00E04A13">
              <w:rPr>
                <w:lang w:val="en-GB"/>
              </w:rPr>
              <w:t>1%</w:t>
            </w:r>
          </w:p>
        </w:tc>
        <w:tc>
          <w:tcPr>
            <w:tcW w:w="1081" w:type="dxa"/>
            <w:vAlign w:val="bottom"/>
          </w:tcPr>
          <w:p w:rsidR="009775D7" w:rsidRPr="00E04A13" w:rsidRDefault="009775D7">
            <w:pPr>
              <w:jc w:val="right"/>
              <w:rPr>
                <w:lang w:val="en-GB"/>
              </w:rPr>
            </w:pPr>
            <w:r w:rsidRPr="00E04A13">
              <w:rPr>
                <w:lang w:val="en-GB"/>
              </w:rPr>
              <w:t>27</w:t>
            </w:r>
            <w:r w:rsidR="00AF37AC">
              <w:rPr>
                <w:lang w:val="en-GB"/>
              </w:rPr>
              <w:t>.</w:t>
            </w:r>
            <w:r w:rsidRPr="00E04A13">
              <w:rPr>
                <w:lang w:val="en-GB"/>
              </w:rPr>
              <w:t>5%</w:t>
            </w:r>
          </w:p>
        </w:tc>
        <w:tc>
          <w:tcPr>
            <w:tcW w:w="1081" w:type="dxa"/>
            <w:vAlign w:val="bottom"/>
          </w:tcPr>
          <w:p w:rsidR="009775D7" w:rsidRPr="00E04A13" w:rsidRDefault="009775D7">
            <w:pPr>
              <w:jc w:val="right"/>
              <w:rPr>
                <w:lang w:val="en-GB"/>
              </w:rPr>
            </w:pPr>
            <w:r w:rsidRPr="00E04A13">
              <w:rPr>
                <w:lang w:val="en-GB"/>
              </w:rPr>
              <w:t>-7</w:t>
            </w:r>
            <w:r w:rsidR="00AF37AC">
              <w:rPr>
                <w:lang w:val="en-GB"/>
              </w:rPr>
              <w:t>.</w:t>
            </w:r>
            <w:r w:rsidRPr="00E04A13">
              <w:rPr>
                <w:lang w:val="en-GB"/>
              </w:rPr>
              <w:t>1%</w:t>
            </w:r>
          </w:p>
        </w:tc>
      </w:tr>
      <w:tr w:rsidR="009775D7" w:rsidRPr="00E04A13">
        <w:tc>
          <w:tcPr>
            <w:tcW w:w="2802" w:type="dxa"/>
            <w:vAlign w:val="bottom"/>
          </w:tcPr>
          <w:p w:rsidR="009775D7" w:rsidRPr="00E04A13" w:rsidRDefault="009775D7">
            <w:pPr>
              <w:rPr>
                <w:lang w:val="en-GB"/>
              </w:rPr>
            </w:pPr>
            <w:r w:rsidRPr="00E04A13">
              <w:rPr>
                <w:lang w:val="en-GB"/>
              </w:rPr>
              <w:t>Wind energy</w:t>
            </w:r>
          </w:p>
        </w:tc>
        <w:tc>
          <w:tcPr>
            <w:tcW w:w="1081" w:type="dxa"/>
            <w:vAlign w:val="bottom"/>
          </w:tcPr>
          <w:p w:rsidR="009775D7" w:rsidRPr="00E04A13" w:rsidRDefault="009775D7">
            <w:pPr>
              <w:jc w:val="right"/>
              <w:rPr>
                <w:lang w:val="en-GB"/>
              </w:rPr>
            </w:pPr>
            <w:r w:rsidRPr="00E04A13">
              <w:rPr>
                <w:lang w:val="en-GB"/>
              </w:rPr>
              <w:t>61</w:t>
            </w:r>
            <w:r w:rsidR="00AF37AC">
              <w:rPr>
                <w:lang w:val="en-GB"/>
              </w:rPr>
              <w:t>.</w:t>
            </w:r>
            <w:r w:rsidRPr="00E04A13">
              <w:rPr>
                <w:lang w:val="en-GB"/>
              </w:rPr>
              <w:t>2%</w:t>
            </w:r>
          </w:p>
        </w:tc>
        <w:tc>
          <w:tcPr>
            <w:tcW w:w="1081" w:type="dxa"/>
            <w:vAlign w:val="bottom"/>
          </w:tcPr>
          <w:p w:rsidR="009775D7" w:rsidRPr="00E04A13" w:rsidRDefault="009775D7">
            <w:pPr>
              <w:jc w:val="right"/>
              <w:rPr>
                <w:lang w:val="en-GB"/>
              </w:rPr>
            </w:pPr>
            <w:r w:rsidRPr="00E04A13">
              <w:rPr>
                <w:lang w:val="en-GB"/>
              </w:rPr>
              <w:t>28</w:t>
            </w:r>
            <w:r w:rsidR="00AF37AC">
              <w:rPr>
                <w:lang w:val="en-GB"/>
              </w:rPr>
              <w:t>.</w:t>
            </w:r>
            <w:r w:rsidRPr="00E04A13">
              <w:rPr>
                <w:lang w:val="en-GB"/>
              </w:rPr>
              <w:t>6%</w:t>
            </w:r>
          </w:p>
        </w:tc>
        <w:tc>
          <w:tcPr>
            <w:tcW w:w="1081" w:type="dxa"/>
            <w:vAlign w:val="bottom"/>
          </w:tcPr>
          <w:p w:rsidR="009775D7" w:rsidRPr="00E04A13" w:rsidRDefault="009775D7">
            <w:pPr>
              <w:jc w:val="right"/>
              <w:rPr>
                <w:lang w:val="en-GB"/>
              </w:rPr>
            </w:pPr>
            <w:r w:rsidRPr="00E04A13">
              <w:rPr>
                <w:lang w:val="en-GB"/>
              </w:rPr>
              <w:t>10</w:t>
            </w:r>
            <w:r w:rsidR="00AF37AC">
              <w:rPr>
                <w:lang w:val="en-GB"/>
              </w:rPr>
              <w:t>.</w:t>
            </w:r>
            <w:r w:rsidRPr="00E04A13">
              <w:rPr>
                <w:lang w:val="en-GB"/>
              </w:rPr>
              <w:t>7%</w:t>
            </w:r>
          </w:p>
        </w:tc>
        <w:tc>
          <w:tcPr>
            <w:tcW w:w="1081" w:type="dxa"/>
            <w:vAlign w:val="bottom"/>
          </w:tcPr>
          <w:p w:rsidR="009775D7" w:rsidRPr="00E04A13" w:rsidRDefault="009775D7">
            <w:pPr>
              <w:jc w:val="right"/>
              <w:rPr>
                <w:lang w:val="en-GB"/>
              </w:rPr>
            </w:pPr>
            <w:r w:rsidRPr="00E04A13">
              <w:rPr>
                <w:lang w:val="en-GB"/>
              </w:rPr>
              <w:t>50</w:t>
            </w:r>
            <w:r w:rsidR="00AF37AC">
              <w:rPr>
                <w:lang w:val="en-GB"/>
              </w:rPr>
              <w:t>.</w:t>
            </w:r>
            <w:r w:rsidRPr="00E04A13">
              <w:rPr>
                <w:lang w:val="en-GB"/>
              </w:rPr>
              <w:t>6%</w:t>
            </w:r>
          </w:p>
        </w:tc>
        <w:tc>
          <w:tcPr>
            <w:tcW w:w="1081" w:type="dxa"/>
            <w:vAlign w:val="bottom"/>
          </w:tcPr>
          <w:p w:rsidR="009775D7" w:rsidRPr="00E04A13" w:rsidRDefault="009775D7">
            <w:pPr>
              <w:jc w:val="right"/>
              <w:rPr>
                <w:lang w:val="en-GB"/>
              </w:rPr>
            </w:pPr>
            <w:r w:rsidRPr="00E04A13">
              <w:rPr>
                <w:lang w:val="en-GB"/>
              </w:rPr>
              <w:t>28</w:t>
            </w:r>
            <w:r w:rsidR="00AF37AC">
              <w:rPr>
                <w:lang w:val="en-GB"/>
              </w:rPr>
              <w:t>.</w:t>
            </w:r>
            <w:r w:rsidRPr="00E04A13">
              <w:rPr>
                <w:lang w:val="en-GB"/>
              </w:rPr>
              <w:t>2%</w:t>
            </w:r>
          </w:p>
        </w:tc>
        <w:tc>
          <w:tcPr>
            <w:tcW w:w="1081" w:type="dxa"/>
            <w:vAlign w:val="bottom"/>
          </w:tcPr>
          <w:p w:rsidR="009775D7" w:rsidRPr="00E04A13" w:rsidRDefault="009775D7">
            <w:pPr>
              <w:jc w:val="right"/>
              <w:rPr>
                <w:lang w:val="en-GB"/>
              </w:rPr>
            </w:pPr>
            <w:r w:rsidRPr="00E04A13">
              <w:rPr>
                <w:lang w:val="en-GB"/>
              </w:rPr>
              <w:t>54</w:t>
            </w:r>
            <w:r w:rsidR="00AF37AC">
              <w:rPr>
                <w:lang w:val="en-GB"/>
              </w:rPr>
              <w:t>.</w:t>
            </w:r>
            <w:r w:rsidRPr="00E04A13">
              <w:rPr>
                <w:lang w:val="en-GB"/>
              </w:rPr>
              <w:t>5%</w:t>
            </w:r>
          </w:p>
        </w:tc>
      </w:tr>
      <w:tr w:rsidR="009775D7" w:rsidRPr="00E04A13">
        <w:tc>
          <w:tcPr>
            <w:tcW w:w="2802" w:type="dxa"/>
            <w:vAlign w:val="bottom"/>
          </w:tcPr>
          <w:p w:rsidR="009775D7" w:rsidRPr="00E04A13" w:rsidRDefault="009775D7">
            <w:pPr>
              <w:rPr>
                <w:lang w:val="en-GB"/>
              </w:rPr>
            </w:pPr>
            <w:r w:rsidRPr="00E04A13">
              <w:rPr>
                <w:lang w:val="en-GB"/>
              </w:rPr>
              <w:t>Solar PV</w:t>
            </w:r>
          </w:p>
        </w:tc>
        <w:tc>
          <w:tcPr>
            <w:tcW w:w="1081" w:type="dxa"/>
            <w:vAlign w:val="bottom"/>
          </w:tcPr>
          <w:p w:rsidR="009775D7" w:rsidRPr="00E04A13" w:rsidRDefault="009775D7">
            <w:pPr>
              <w:jc w:val="right"/>
              <w:rPr>
                <w:lang w:val="en-GB"/>
              </w:rPr>
            </w:pPr>
            <w:r w:rsidRPr="00E04A13">
              <w:rPr>
                <w:lang w:val="en-GB"/>
              </w:rPr>
              <w:t>44</w:t>
            </w:r>
            <w:r w:rsidR="00AF37AC">
              <w:rPr>
                <w:lang w:val="en-GB"/>
              </w:rPr>
              <w:t>.</w:t>
            </w:r>
            <w:r w:rsidRPr="00E04A13">
              <w:rPr>
                <w:lang w:val="en-GB"/>
              </w:rPr>
              <w:t>3%</w:t>
            </w:r>
          </w:p>
        </w:tc>
        <w:tc>
          <w:tcPr>
            <w:tcW w:w="1081" w:type="dxa"/>
            <w:vAlign w:val="bottom"/>
          </w:tcPr>
          <w:p w:rsidR="009775D7" w:rsidRPr="00E04A13" w:rsidRDefault="009775D7">
            <w:pPr>
              <w:jc w:val="right"/>
              <w:rPr>
                <w:lang w:val="en-GB"/>
              </w:rPr>
            </w:pPr>
            <w:r w:rsidRPr="00E04A13">
              <w:rPr>
                <w:lang w:val="en-GB"/>
              </w:rPr>
              <w:t>27</w:t>
            </w:r>
            <w:r w:rsidR="00AF37AC">
              <w:rPr>
                <w:lang w:val="en-GB"/>
              </w:rPr>
              <w:t>.</w:t>
            </w:r>
            <w:r w:rsidRPr="00E04A13">
              <w:rPr>
                <w:lang w:val="en-GB"/>
              </w:rPr>
              <w:t>1%</w:t>
            </w:r>
          </w:p>
        </w:tc>
        <w:tc>
          <w:tcPr>
            <w:tcW w:w="1081" w:type="dxa"/>
            <w:vAlign w:val="bottom"/>
          </w:tcPr>
          <w:p w:rsidR="009775D7" w:rsidRPr="00E04A13" w:rsidRDefault="009775D7">
            <w:pPr>
              <w:jc w:val="right"/>
              <w:rPr>
                <w:lang w:val="en-GB"/>
              </w:rPr>
            </w:pPr>
            <w:r w:rsidRPr="00E04A13">
              <w:rPr>
                <w:lang w:val="en-GB"/>
              </w:rPr>
              <w:t>5</w:t>
            </w:r>
            <w:r w:rsidR="00AF37AC">
              <w:rPr>
                <w:lang w:val="en-GB"/>
              </w:rPr>
              <w:t>.</w:t>
            </w:r>
            <w:r w:rsidRPr="00E04A13">
              <w:rPr>
                <w:lang w:val="en-GB"/>
              </w:rPr>
              <w:t>0%</w:t>
            </w:r>
          </w:p>
        </w:tc>
        <w:tc>
          <w:tcPr>
            <w:tcW w:w="1081" w:type="dxa"/>
            <w:vAlign w:val="bottom"/>
          </w:tcPr>
          <w:p w:rsidR="009775D7" w:rsidRPr="00E04A13" w:rsidRDefault="009775D7">
            <w:pPr>
              <w:jc w:val="right"/>
              <w:rPr>
                <w:lang w:val="en-GB"/>
              </w:rPr>
            </w:pPr>
            <w:r w:rsidRPr="00E04A13">
              <w:rPr>
                <w:lang w:val="en-GB"/>
              </w:rPr>
              <w:t>41</w:t>
            </w:r>
            <w:r w:rsidR="00AF37AC">
              <w:rPr>
                <w:lang w:val="en-GB"/>
              </w:rPr>
              <w:t>.</w:t>
            </w:r>
            <w:r w:rsidRPr="00E04A13">
              <w:rPr>
                <w:lang w:val="en-GB"/>
              </w:rPr>
              <w:t>5%</w:t>
            </w:r>
          </w:p>
        </w:tc>
        <w:tc>
          <w:tcPr>
            <w:tcW w:w="1081" w:type="dxa"/>
            <w:vAlign w:val="bottom"/>
          </w:tcPr>
          <w:p w:rsidR="009775D7" w:rsidRPr="00E04A13" w:rsidRDefault="009775D7">
            <w:pPr>
              <w:jc w:val="right"/>
              <w:rPr>
                <w:lang w:val="en-GB"/>
              </w:rPr>
            </w:pPr>
            <w:r w:rsidRPr="00E04A13">
              <w:rPr>
                <w:lang w:val="en-GB"/>
              </w:rPr>
              <w:t>50</w:t>
            </w:r>
            <w:r w:rsidR="00AF37AC">
              <w:rPr>
                <w:lang w:val="en-GB"/>
              </w:rPr>
              <w:t>.</w:t>
            </w:r>
            <w:r w:rsidRPr="00E04A13">
              <w:rPr>
                <w:lang w:val="en-GB"/>
              </w:rPr>
              <w:t>7%</w:t>
            </w:r>
          </w:p>
        </w:tc>
        <w:tc>
          <w:tcPr>
            <w:tcW w:w="1081" w:type="dxa"/>
            <w:vAlign w:val="bottom"/>
          </w:tcPr>
          <w:p w:rsidR="009775D7" w:rsidRPr="00E04A13" w:rsidRDefault="009775D7">
            <w:pPr>
              <w:jc w:val="right"/>
              <w:rPr>
                <w:lang w:val="en-GB"/>
              </w:rPr>
            </w:pPr>
            <w:r w:rsidRPr="00E04A13">
              <w:rPr>
                <w:lang w:val="en-GB"/>
              </w:rPr>
              <w:t>26</w:t>
            </w:r>
            <w:r w:rsidR="00AF37AC">
              <w:rPr>
                <w:lang w:val="en-GB"/>
              </w:rPr>
              <w:t>.</w:t>
            </w:r>
            <w:r w:rsidRPr="00E04A13">
              <w:rPr>
                <w:lang w:val="en-GB"/>
              </w:rPr>
              <w:t>2%</w:t>
            </w:r>
          </w:p>
        </w:tc>
      </w:tr>
      <w:tr w:rsidR="009775D7" w:rsidRPr="00E04A13">
        <w:tc>
          <w:tcPr>
            <w:tcW w:w="2802" w:type="dxa"/>
            <w:vAlign w:val="bottom"/>
          </w:tcPr>
          <w:p w:rsidR="009775D7" w:rsidRPr="00E04A13" w:rsidRDefault="009775D7">
            <w:pPr>
              <w:rPr>
                <w:lang w:val="en-GB"/>
              </w:rPr>
            </w:pPr>
            <w:proofErr w:type="spellStart"/>
            <w:r w:rsidRPr="00E04A13">
              <w:rPr>
                <w:lang w:val="en-GB"/>
              </w:rPr>
              <w:t>Biofuels</w:t>
            </w:r>
            <w:proofErr w:type="spellEnd"/>
          </w:p>
        </w:tc>
        <w:tc>
          <w:tcPr>
            <w:tcW w:w="1081" w:type="dxa"/>
            <w:vAlign w:val="bottom"/>
          </w:tcPr>
          <w:p w:rsidR="009775D7" w:rsidRPr="00E04A13" w:rsidRDefault="009775D7">
            <w:pPr>
              <w:jc w:val="right"/>
              <w:rPr>
                <w:lang w:val="en-GB"/>
              </w:rPr>
            </w:pPr>
            <w:r w:rsidRPr="00E04A13">
              <w:rPr>
                <w:lang w:val="en-GB"/>
              </w:rPr>
              <w:t>38</w:t>
            </w:r>
            <w:r w:rsidR="00AF37AC">
              <w:rPr>
                <w:lang w:val="en-GB"/>
              </w:rPr>
              <w:t>.</w:t>
            </w:r>
            <w:r w:rsidRPr="00E04A13">
              <w:rPr>
                <w:lang w:val="en-GB"/>
              </w:rPr>
              <w:t>7%</w:t>
            </w:r>
          </w:p>
        </w:tc>
        <w:tc>
          <w:tcPr>
            <w:tcW w:w="1081" w:type="dxa"/>
            <w:vAlign w:val="bottom"/>
          </w:tcPr>
          <w:p w:rsidR="009775D7" w:rsidRPr="00E04A13" w:rsidRDefault="009775D7">
            <w:pPr>
              <w:jc w:val="right"/>
              <w:rPr>
                <w:lang w:val="en-GB"/>
              </w:rPr>
            </w:pPr>
            <w:r w:rsidRPr="00E04A13">
              <w:rPr>
                <w:lang w:val="en-GB"/>
              </w:rPr>
              <w:t>8</w:t>
            </w:r>
            <w:r w:rsidR="00AF37AC">
              <w:rPr>
                <w:lang w:val="en-GB"/>
              </w:rPr>
              <w:t>.</w:t>
            </w:r>
            <w:r w:rsidRPr="00E04A13">
              <w:rPr>
                <w:lang w:val="en-GB"/>
              </w:rPr>
              <w:t>7%</w:t>
            </w:r>
          </w:p>
        </w:tc>
        <w:tc>
          <w:tcPr>
            <w:tcW w:w="1081" w:type="dxa"/>
            <w:vAlign w:val="bottom"/>
          </w:tcPr>
          <w:p w:rsidR="009775D7" w:rsidRPr="00E04A13" w:rsidRDefault="009775D7">
            <w:pPr>
              <w:jc w:val="right"/>
              <w:rPr>
                <w:lang w:val="en-GB"/>
              </w:rPr>
            </w:pPr>
            <w:r w:rsidRPr="00E04A13">
              <w:rPr>
                <w:lang w:val="en-GB"/>
              </w:rPr>
              <w:t>4</w:t>
            </w:r>
            <w:r w:rsidR="00AF37AC">
              <w:rPr>
                <w:lang w:val="en-GB"/>
              </w:rPr>
              <w:t>.</w:t>
            </w:r>
            <w:r w:rsidRPr="00E04A13">
              <w:rPr>
                <w:lang w:val="en-GB"/>
              </w:rPr>
              <w:t>8%</w:t>
            </w:r>
          </w:p>
        </w:tc>
        <w:tc>
          <w:tcPr>
            <w:tcW w:w="1081" w:type="dxa"/>
            <w:vAlign w:val="bottom"/>
          </w:tcPr>
          <w:p w:rsidR="009775D7" w:rsidRPr="00E04A13" w:rsidRDefault="009775D7">
            <w:pPr>
              <w:jc w:val="right"/>
              <w:rPr>
                <w:lang w:val="en-GB"/>
              </w:rPr>
            </w:pPr>
            <w:r w:rsidRPr="00E04A13">
              <w:rPr>
                <w:lang w:val="en-GB"/>
              </w:rPr>
              <w:t>51</w:t>
            </w:r>
            <w:r w:rsidR="00AF37AC">
              <w:rPr>
                <w:lang w:val="en-GB"/>
              </w:rPr>
              <w:t>.</w:t>
            </w:r>
            <w:r w:rsidRPr="00E04A13">
              <w:rPr>
                <w:lang w:val="en-GB"/>
              </w:rPr>
              <w:t>6%</w:t>
            </w:r>
          </w:p>
        </w:tc>
        <w:tc>
          <w:tcPr>
            <w:tcW w:w="1081" w:type="dxa"/>
            <w:vAlign w:val="bottom"/>
          </w:tcPr>
          <w:p w:rsidR="009775D7" w:rsidRPr="00E04A13" w:rsidRDefault="009775D7">
            <w:pPr>
              <w:jc w:val="right"/>
              <w:rPr>
                <w:lang w:val="en-GB"/>
              </w:rPr>
            </w:pPr>
            <w:r w:rsidRPr="00E04A13">
              <w:rPr>
                <w:lang w:val="en-GB"/>
              </w:rPr>
              <w:t>56</w:t>
            </w:r>
            <w:r w:rsidR="00AF37AC">
              <w:rPr>
                <w:lang w:val="en-GB"/>
              </w:rPr>
              <w:t>.</w:t>
            </w:r>
            <w:r w:rsidRPr="00E04A13">
              <w:rPr>
                <w:lang w:val="en-GB"/>
              </w:rPr>
              <w:t>4%</w:t>
            </w:r>
          </w:p>
        </w:tc>
        <w:tc>
          <w:tcPr>
            <w:tcW w:w="1081" w:type="dxa"/>
            <w:vAlign w:val="bottom"/>
          </w:tcPr>
          <w:p w:rsidR="009775D7" w:rsidRPr="00E04A13" w:rsidRDefault="009775D7">
            <w:pPr>
              <w:jc w:val="right"/>
              <w:rPr>
                <w:lang w:val="en-GB"/>
              </w:rPr>
            </w:pPr>
            <w:r w:rsidRPr="00E04A13">
              <w:rPr>
                <w:lang w:val="en-GB"/>
              </w:rPr>
              <w:t>12</w:t>
            </w:r>
            <w:r w:rsidR="00AF37AC">
              <w:rPr>
                <w:lang w:val="en-GB"/>
              </w:rPr>
              <w:t>.</w:t>
            </w:r>
            <w:r w:rsidRPr="00E04A13">
              <w:rPr>
                <w:lang w:val="en-GB"/>
              </w:rPr>
              <w:t>6%</w:t>
            </w:r>
          </w:p>
        </w:tc>
      </w:tr>
      <w:tr w:rsidR="009775D7" w:rsidRPr="00E04A13">
        <w:tc>
          <w:tcPr>
            <w:tcW w:w="2802" w:type="dxa"/>
            <w:vAlign w:val="bottom"/>
          </w:tcPr>
          <w:p w:rsidR="009775D7" w:rsidRPr="00E04A13" w:rsidRDefault="009775D7">
            <w:pPr>
              <w:rPr>
                <w:lang w:val="en-GB"/>
              </w:rPr>
            </w:pPr>
            <w:r w:rsidRPr="00E04A13">
              <w:rPr>
                <w:lang w:val="en-GB"/>
              </w:rPr>
              <w:t>Energy storage</w:t>
            </w:r>
          </w:p>
        </w:tc>
        <w:tc>
          <w:tcPr>
            <w:tcW w:w="1081" w:type="dxa"/>
            <w:vAlign w:val="bottom"/>
          </w:tcPr>
          <w:p w:rsidR="009775D7" w:rsidRPr="00E04A13" w:rsidRDefault="009775D7">
            <w:pPr>
              <w:jc w:val="right"/>
              <w:rPr>
                <w:lang w:val="en-GB"/>
              </w:rPr>
            </w:pPr>
            <w:r w:rsidRPr="00E04A13">
              <w:rPr>
                <w:lang w:val="en-GB"/>
              </w:rPr>
              <w:t>48</w:t>
            </w:r>
            <w:r w:rsidR="00AF37AC">
              <w:rPr>
                <w:lang w:val="en-GB"/>
              </w:rPr>
              <w:t>.</w:t>
            </w:r>
            <w:r w:rsidRPr="00E04A13">
              <w:rPr>
                <w:lang w:val="en-GB"/>
              </w:rPr>
              <w:t>6%</w:t>
            </w:r>
          </w:p>
        </w:tc>
        <w:tc>
          <w:tcPr>
            <w:tcW w:w="1081" w:type="dxa"/>
            <w:vAlign w:val="bottom"/>
          </w:tcPr>
          <w:p w:rsidR="009775D7" w:rsidRPr="00E04A13" w:rsidRDefault="009775D7">
            <w:pPr>
              <w:jc w:val="right"/>
              <w:rPr>
                <w:lang w:val="en-GB"/>
              </w:rPr>
            </w:pPr>
            <w:r w:rsidRPr="00E04A13">
              <w:rPr>
                <w:lang w:val="en-GB"/>
              </w:rPr>
              <w:t>39</w:t>
            </w:r>
            <w:r w:rsidR="00AF37AC">
              <w:rPr>
                <w:lang w:val="en-GB"/>
              </w:rPr>
              <w:t>.</w:t>
            </w:r>
            <w:r w:rsidRPr="00E04A13">
              <w:rPr>
                <w:lang w:val="en-GB"/>
              </w:rPr>
              <w:t>1%</w:t>
            </w:r>
          </w:p>
        </w:tc>
        <w:tc>
          <w:tcPr>
            <w:tcW w:w="1081" w:type="dxa"/>
            <w:vAlign w:val="bottom"/>
          </w:tcPr>
          <w:p w:rsidR="009775D7" w:rsidRPr="00E04A13" w:rsidRDefault="009775D7">
            <w:pPr>
              <w:jc w:val="right"/>
              <w:rPr>
                <w:lang w:val="en-GB"/>
              </w:rPr>
            </w:pPr>
            <w:r w:rsidRPr="00E04A13">
              <w:rPr>
                <w:lang w:val="en-GB"/>
              </w:rPr>
              <w:t>8</w:t>
            </w:r>
            <w:r w:rsidR="00AF37AC">
              <w:rPr>
                <w:lang w:val="en-GB"/>
              </w:rPr>
              <w:t>.</w:t>
            </w:r>
            <w:r w:rsidRPr="00E04A13">
              <w:rPr>
                <w:lang w:val="en-GB"/>
              </w:rPr>
              <w:t>6%</w:t>
            </w:r>
          </w:p>
        </w:tc>
        <w:tc>
          <w:tcPr>
            <w:tcW w:w="1081" w:type="dxa"/>
            <w:vAlign w:val="bottom"/>
          </w:tcPr>
          <w:p w:rsidR="009775D7" w:rsidRPr="00E04A13" w:rsidRDefault="009775D7">
            <w:pPr>
              <w:jc w:val="right"/>
              <w:rPr>
                <w:lang w:val="en-GB"/>
              </w:rPr>
            </w:pPr>
            <w:r w:rsidRPr="00E04A13">
              <w:rPr>
                <w:lang w:val="en-GB"/>
              </w:rPr>
              <w:t>40</w:t>
            </w:r>
            <w:r w:rsidR="00AF37AC">
              <w:rPr>
                <w:lang w:val="en-GB"/>
              </w:rPr>
              <w:t>.</w:t>
            </w:r>
            <w:r w:rsidRPr="00E04A13">
              <w:rPr>
                <w:lang w:val="en-GB"/>
              </w:rPr>
              <w:t>8%</w:t>
            </w:r>
          </w:p>
        </w:tc>
        <w:tc>
          <w:tcPr>
            <w:tcW w:w="1081" w:type="dxa"/>
            <w:vAlign w:val="bottom"/>
          </w:tcPr>
          <w:p w:rsidR="009775D7" w:rsidRPr="00E04A13" w:rsidRDefault="009775D7">
            <w:pPr>
              <w:jc w:val="right"/>
              <w:rPr>
                <w:lang w:val="en-GB"/>
              </w:rPr>
            </w:pPr>
            <w:r w:rsidRPr="00E04A13">
              <w:rPr>
                <w:lang w:val="en-GB"/>
              </w:rPr>
              <w:t>42</w:t>
            </w:r>
            <w:r w:rsidR="00AF37AC">
              <w:rPr>
                <w:lang w:val="en-GB"/>
              </w:rPr>
              <w:t>.</w:t>
            </w:r>
            <w:r w:rsidRPr="00E04A13">
              <w:rPr>
                <w:lang w:val="en-GB"/>
              </w:rPr>
              <w:t>8%</w:t>
            </w:r>
          </w:p>
        </w:tc>
        <w:tc>
          <w:tcPr>
            <w:tcW w:w="1081" w:type="dxa"/>
            <w:vAlign w:val="bottom"/>
          </w:tcPr>
          <w:p w:rsidR="009775D7" w:rsidRPr="00E04A13" w:rsidRDefault="009775D7">
            <w:pPr>
              <w:jc w:val="right"/>
              <w:rPr>
                <w:lang w:val="en-GB"/>
              </w:rPr>
            </w:pPr>
            <w:r w:rsidRPr="00E04A13">
              <w:rPr>
                <w:lang w:val="en-GB"/>
              </w:rPr>
              <w:t>17</w:t>
            </w:r>
            <w:r w:rsidR="00AF37AC">
              <w:rPr>
                <w:lang w:val="en-GB"/>
              </w:rPr>
              <w:t>.</w:t>
            </w:r>
            <w:r w:rsidRPr="00E04A13">
              <w:rPr>
                <w:lang w:val="en-GB"/>
              </w:rPr>
              <w:t>1%</w:t>
            </w:r>
          </w:p>
        </w:tc>
      </w:tr>
      <w:tr w:rsidR="009775D7" w:rsidRPr="00E04A13">
        <w:tc>
          <w:tcPr>
            <w:tcW w:w="2802" w:type="dxa"/>
            <w:vAlign w:val="bottom"/>
          </w:tcPr>
          <w:p w:rsidR="009775D7" w:rsidRPr="00E04A13" w:rsidRDefault="009775D7">
            <w:pPr>
              <w:rPr>
                <w:lang w:val="en-GB"/>
              </w:rPr>
            </w:pPr>
            <w:r w:rsidRPr="00E04A13">
              <w:rPr>
                <w:lang w:val="en-GB"/>
              </w:rPr>
              <w:t>Electric vehicles</w:t>
            </w:r>
          </w:p>
        </w:tc>
        <w:tc>
          <w:tcPr>
            <w:tcW w:w="1081" w:type="dxa"/>
            <w:vAlign w:val="bottom"/>
          </w:tcPr>
          <w:p w:rsidR="009775D7" w:rsidRPr="00E04A13" w:rsidRDefault="009775D7">
            <w:pPr>
              <w:jc w:val="right"/>
              <w:rPr>
                <w:lang w:val="en-GB"/>
              </w:rPr>
            </w:pPr>
            <w:r w:rsidRPr="00E04A13">
              <w:rPr>
                <w:lang w:val="en-GB"/>
              </w:rPr>
              <w:t>70</w:t>
            </w:r>
            <w:r w:rsidR="00AF37AC">
              <w:rPr>
                <w:lang w:val="en-GB"/>
              </w:rPr>
              <w:t>.</w:t>
            </w:r>
            <w:r w:rsidRPr="00E04A13">
              <w:rPr>
                <w:lang w:val="en-GB"/>
              </w:rPr>
              <w:t>4%</w:t>
            </w:r>
          </w:p>
        </w:tc>
        <w:tc>
          <w:tcPr>
            <w:tcW w:w="1081" w:type="dxa"/>
            <w:vAlign w:val="bottom"/>
          </w:tcPr>
          <w:p w:rsidR="009775D7" w:rsidRPr="00E04A13" w:rsidRDefault="009775D7">
            <w:pPr>
              <w:jc w:val="right"/>
              <w:rPr>
                <w:lang w:val="en-GB"/>
              </w:rPr>
            </w:pPr>
            <w:r w:rsidRPr="00E04A13">
              <w:rPr>
                <w:lang w:val="en-GB"/>
              </w:rPr>
              <w:t>26</w:t>
            </w:r>
            <w:r w:rsidR="00AF37AC">
              <w:rPr>
                <w:lang w:val="en-GB"/>
              </w:rPr>
              <w:t>.</w:t>
            </w:r>
            <w:r w:rsidRPr="00E04A13">
              <w:rPr>
                <w:lang w:val="en-GB"/>
              </w:rPr>
              <w:t>6%</w:t>
            </w:r>
          </w:p>
        </w:tc>
        <w:tc>
          <w:tcPr>
            <w:tcW w:w="1081" w:type="dxa"/>
            <w:vAlign w:val="bottom"/>
          </w:tcPr>
          <w:p w:rsidR="009775D7" w:rsidRPr="00E04A13" w:rsidRDefault="009775D7">
            <w:pPr>
              <w:jc w:val="right"/>
              <w:rPr>
                <w:lang w:val="en-GB"/>
              </w:rPr>
            </w:pPr>
            <w:r w:rsidRPr="00E04A13">
              <w:rPr>
                <w:lang w:val="en-GB"/>
              </w:rPr>
              <w:t>8</w:t>
            </w:r>
            <w:r w:rsidR="00AF37AC">
              <w:rPr>
                <w:lang w:val="en-GB"/>
              </w:rPr>
              <w:t>.</w:t>
            </w:r>
            <w:r w:rsidRPr="00E04A13">
              <w:rPr>
                <w:lang w:val="en-GB"/>
              </w:rPr>
              <w:t>9%</w:t>
            </w:r>
          </w:p>
        </w:tc>
        <w:tc>
          <w:tcPr>
            <w:tcW w:w="1081" w:type="dxa"/>
            <w:vAlign w:val="bottom"/>
          </w:tcPr>
          <w:p w:rsidR="009775D7" w:rsidRPr="00E04A13" w:rsidRDefault="009775D7">
            <w:pPr>
              <w:jc w:val="right"/>
              <w:rPr>
                <w:lang w:val="en-GB"/>
              </w:rPr>
            </w:pPr>
            <w:r w:rsidRPr="00E04A13">
              <w:rPr>
                <w:lang w:val="en-GB"/>
              </w:rPr>
              <w:t>13</w:t>
            </w:r>
            <w:r w:rsidR="00AF37AC">
              <w:rPr>
                <w:lang w:val="en-GB"/>
              </w:rPr>
              <w:t>.</w:t>
            </w:r>
            <w:r w:rsidRPr="00E04A13">
              <w:rPr>
                <w:lang w:val="en-GB"/>
              </w:rPr>
              <w:t>5%</w:t>
            </w:r>
          </w:p>
        </w:tc>
        <w:tc>
          <w:tcPr>
            <w:tcW w:w="1081" w:type="dxa"/>
            <w:vAlign w:val="bottom"/>
          </w:tcPr>
          <w:p w:rsidR="009775D7" w:rsidRPr="00E04A13" w:rsidRDefault="009775D7">
            <w:pPr>
              <w:jc w:val="right"/>
              <w:rPr>
                <w:lang w:val="en-GB"/>
              </w:rPr>
            </w:pPr>
            <w:r w:rsidRPr="00E04A13">
              <w:rPr>
                <w:lang w:val="en-GB"/>
              </w:rPr>
              <w:t>20</w:t>
            </w:r>
            <w:r w:rsidR="00AF37AC">
              <w:rPr>
                <w:lang w:val="en-GB"/>
              </w:rPr>
              <w:t>.</w:t>
            </w:r>
            <w:r w:rsidRPr="00E04A13">
              <w:rPr>
                <w:lang w:val="en-GB"/>
              </w:rPr>
              <w:t>7%</w:t>
            </w:r>
          </w:p>
        </w:tc>
        <w:tc>
          <w:tcPr>
            <w:tcW w:w="1081" w:type="dxa"/>
            <w:vAlign w:val="bottom"/>
          </w:tcPr>
          <w:p w:rsidR="009775D7" w:rsidRPr="00E04A13" w:rsidRDefault="009775D7">
            <w:pPr>
              <w:jc w:val="right"/>
              <w:rPr>
                <w:lang w:val="en-GB"/>
              </w:rPr>
            </w:pPr>
            <w:r w:rsidRPr="00E04A13">
              <w:rPr>
                <w:lang w:val="en-GB"/>
              </w:rPr>
              <w:t>10</w:t>
            </w:r>
            <w:r w:rsidR="00AF37AC">
              <w:rPr>
                <w:lang w:val="en-GB"/>
              </w:rPr>
              <w:t>.</w:t>
            </w:r>
            <w:r w:rsidRPr="00E04A13">
              <w:rPr>
                <w:lang w:val="en-GB"/>
              </w:rPr>
              <w:t>0%</w:t>
            </w:r>
          </w:p>
        </w:tc>
      </w:tr>
      <w:tr w:rsidR="009775D7" w:rsidRPr="00E04A13">
        <w:tc>
          <w:tcPr>
            <w:tcW w:w="2802" w:type="dxa"/>
            <w:vAlign w:val="bottom"/>
          </w:tcPr>
          <w:p w:rsidR="009775D7" w:rsidRPr="00E04A13" w:rsidRDefault="009775D7">
            <w:pPr>
              <w:rPr>
                <w:lang w:val="en-GB"/>
              </w:rPr>
            </w:pPr>
            <w:r w:rsidRPr="00E04A13">
              <w:rPr>
                <w:lang w:val="en-GB"/>
              </w:rPr>
              <w:t>Insulation</w:t>
            </w:r>
          </w:p>
        </w:tc>
        <w:tc>
          <w:tcPr>
            <w:tcW w:w="1081" w:type="dxa"/>
            <w:vAlign w:val="bottom"/>
          </w:tcPr>
          <w:p w:rsidR="009775D7" w:rsidRPr="00E04A13" w:rsidRDefault="009775D7">
            <w:pPr>
              <w:jc w:val="right"/>
              <w:rPr>
                <w:lang w:val="en-GB"/>
              </w:rPr>
            </w:pPr>
            <w:r w:rsidRPr="00E04A13">
              <w:rPr>
                <w:lang w:val="en-GB"/>
              </w:rPr>
              <w:t>64</w:t>
            </w:r>
            <w:r w:rsidR="00AF37AC">
              <w:rPr>
                <w:lang w:val="en-GB"/>
              </w:rPr>
              <w:t>.</w:t>
            </w:r>
            <w:r w:rsidRPr="00E04A13">
              <w:rPr>
                <w:lang w:val="en-GB"/>
              </w:rPr>
              <w:t>8%</w:t>
            </w:r>
          </w:p>
        </w:tc>
        <w:tc>
          <w:tcPr>
            <w:tcW w:w="1081" w:type="dxa"/>
            <w:vAlign w:val="bottom"/>
          </w:tcPr>
          <w:p w:rsidR="009775D7" w:rsidRPr="00E04A13" w:rsidRDefault="009775D7">
            <w:pPr>
              <w:jc w:val="right"/>
              <w:rPr>
                <w:lang w:val="en-GB"/>
              </w:rPr>
            </w:pPr>
            <w:r w:rsidRPr="00E04A13">
              <w:rPr>
                <w:lang w:val="en-GB"/>
              </w:rPr>
              <w:t>7</w:t>
            </w:r>
            <w:r w:rsidR="00AF37AC">
              <w:rPr>
                <w:lang w:val="en-GB"/>
              </w:rPr>
              <w:t>.</w:t>
            </w:r>
            <w:r w:rsidRPr="00E04A13">
              <w:rPr>
                <w:lang w:val="en-GB"/>
              </w:rPr>
              <w:t>3%</w:t>
            </w:r>
          </w:p>
        </w:tc>
        <w:tc>
          <w:tcPr>
            <w:tcW w:w="1081" w:type="dxa"/>
            <w:vAlign w:val="bottom"/>
          </w:tcPr>
          <w:p w:rsidR="009775D7" w:rsidRPr="00E04A13" w:rsidRDefault="009775D7">
            <w:pPr>
              <w:jc w:val="right"/>
              <w:rPr>
                <w:lang w:val="en-GB"/>
              </w:rPr>
            </w:pPr>
            <w:r w:rsidRPr="00E04A13">
              <w:rPr>
                <w:lang w:val="en-GB"/>
              </w:rPr>
              <w:t>12</w:t>
            </w:r>
            <w:r w:rsidR="00AF37AC">
              <w:rPr>
                <w:lang w:val="en-GB"/>
              </w:rPr>
              <w:t>.</w:t>
            </w:r>
            <w:r w:rsidRPr="00E04A13">
              <w:rPr>
                <w:lang w:val="en-GB"/>
              </w:rPr>
              <w:t>2%</w:t>
            </w:r>
          </w:p>
        </w:tc>
        <w:tc>
          <w:tcPr>
            <w:tcW w:w="1081" w:type="dxa"/>
            <w:vAlign w:val="bottom"/>
          </w:tcPr>
          <w:p w:rsidR="009775D7" w:rsidRPr="00E04A13" w:rsidRDefault="009775D7">
            <w:pPr>
              <w:jc w:val="right"/>
              <w:rPr>
                <w:lang w:val="en-GB"/>
              </w:rPr>
            </w:pPr>
            <w:r w:rsidRPr="00E04A13">
              <w:rPr>
                <w:lang w:val="en-GB"/>
              </w:rPr>
              <w:t>19</w:t>
            </w:r>
            <w:r w:rsidR="00AF37AC">
              <w:rPr>
                <w:lang w:val="en-GB"/>
              </w:rPr>
              <w:t>.</w:t>
            </w:r>
            <w:r w:rsidRPr="00E04A13">
              <w:rPr>
                <w:lang w:val="en-GB"/>
              </w:rPr>
              <w:t>9%</w:t>
            </w:r>
          </w:p>
        </w:tc>
        <w:tc>
          <w:tcPr>
            <w:tcW w:w="1081" w:type="dxa"/>
            <w:vAlign w:val="bottom"/>
          </w:tcPr>
          <w:p w:rsidR="009775D7" w:rsidRPr="00E04A13" w:rsidRDefault="009775D7">
            <w:pPr>
              <w:jc w:val="right"/>
              <w:rPr>
                <w:lang w:val="en-GB"/>
              </w:rPr>
            </w:pPr>
            <w:r w:rsidRPr="00E04A13">
              <w:rPr>
                <w:lang w:val="en-GB"/>
              </w:rPr>
              <w:t>23</w:t>
            </w:r>
            <w:r w:rsidR="00AF37AC">
              <w:rPr>
                <w:lang w:val="en-GB"/>
              </w:rPr>
              <w:t>.</w:t>
            </w:r>
            <w:r w:rsidRPr="00E04A13">
              <w:rPr>
                <w:lang w:val="en-GB"/>
              </w:rPr>
              <w:t>0%</w:t>
            </w:r>
          </w:p>
        </w:tc>
        <w:tc>
          <w:tcPr>
            <w:tcW w:w="1081" w:type="dxa"/>
            <w:vAlign w:val="bottom"/>
          </w:tcPr>
          <w:p w:rsidR="009775D7" w:rsidRPr="00E04A13" w:rsidRDefault="009775D7">
            <w:pPr>
              <w:jc w:val="right"/>
              <w:rPr>
                <w:lang w:val="en-GB"/>
              </w:rPr>
            </w:pPr>
            <w:r w:rsidRPr="00E04A13">
              <w:rPr>
                <w:lang w:val="en-GB"/>
              </w:rPr>
              <w:t>-12</w:t>
            </w:r>
            <w:r w:rsidR="00AF37AC">
              <w:rPr>
                <w:lang w:val="en-GB"/>
              </w:rPr>
              <w:t>.</w:t>
            </w:r>
            <w:r w:rsidRPr="00E04A13">
              <w:rPr>
                <w:lang w:val="en-GB"/>
              </w:rPr>
              <w:t>5%</w:t>
            </w:r>
          </w:p>
        </w:tc>
      </w:tr>
      <w:tr w:rsidR="009775D7" w:rsidRPr="00E04A13">
        <w:tc>
          <w:tcPr>
            <w:tcW w:w="9288" w:type="dxa"/>
            <w:gridSpan w:val="7"/>
            <w:vAlign w:val="bottom"/>
          </w:tcPr>
          <w:p w:rsidR="009775D7" w:rsidRPr="00E04A13" w:rsidRDefault="009775D7" w:rsidP="009775D7">
            <w:pPr>
              <w:jc w:val="left"/>
              <w:rPr>
                <w:lang w:val="en-GB"/>
              </w:rPr>
            </w:pPr>
            <w:r w:rsidRPr="00E04A13">
              <w:rPr>
                <w:lang w:val="en-GB"/>
              </w:rPr>
              <w:t>Note: “Share” refers to the share of the respective country or region in the total of the three countries and regions in 2009; “Growth rate” is the annual growth between the 2006/2007 and the 2008/2009 two-year average. Source: OECD ENV-Tech Indicator Set.</w:t>
            </w:r>
          </w:p>
        </w:tc>
      </w:tr>
    </w:tbl>
    <w:p w:rsidR="009775D7" w:rsidRPr="00E04A13" w:rsidRDefault="009775D7" w:rsidP="009775D7">
      <w:pPr>
        <w:rPr>
          <w:lang w:val="en-GB"/>
        </w:rPr>
      </w:pPr>
    </w:p>
    <w:p w:rsidR="009775D7" w:rsidRPr="00E04A13" w:rsidRDefault="009775D7" w:rsidP="009775D7">
      <w:pPr>
        <w:rPr>
          <w:lang w:val="en-GB"/>
        </w:rPr>
      </w:pPr>
    </w:p>
    <w:p w:rsidR="009775D7" w:rsidRPr="00E04A13" w:rsidRDefault="009775D7" w:rsidP="009775D7">
      <w:pPr>
        <w:rPr>
          <w:lang w:val="en-GB"/>
        </w:rPr>
      </w:pPr>
    </w:p>
    <w:p w:rsidR="009775D7" w:rsidRPr="00E04A13" w:rsidRDefault="009775D7" w:rsidP="009775D7">
      <w:pPr>
        <w:rPr>
          <w:lang w:val="en-GB"/>
        </w:rPr>
      </w:pPr>
    </w:p>
    <w:p w:rsidR="009775D7" w:rsidRPr="00E04A13" w:rsidRDefault="009775D7" w:rsidP="009775D7">
      <w:pPr>
        <w:rPr>
          <w:lang w:val="en-GB"/>
        </w:rPr>
      </w:pPr>
    </w:p>
    <w:p w:rsidR="009775D7" w:rsidRPr="00E04A13" w:rsidRDefault="009775D7" w:rsidP="009775D7">
      <w:pPr>
        <w:rPr>
          <w:lang w:val="en-GB"/>
        </w:rPr>
      </w:pPr>
    </w:p>
    <w:p w:rsidR="009775D7" w:rsidRPr="00E04A13" w:rsidRDefault="009775D7" w:rsidP="009775D7">
      <w:pPr>
        <w:pStyle w:val="Heading2"/>
        <w:spacing w:before="480"/>
        <w:rPr>
          <w:lang w:val="en-GB"/>
        </w:rPr>
      </w:pPr>
      <w:bookmarkStart w:id="25" w:name="_Toc251626638"/>
      <w:r w:rsidRPr="00E04A13">
        <w:rPr>
          <w:lang w:val="en-GB"/>
        </w:rPr>
        <w:t>Public funding for environmental research</w:t>
      </w:r>
      <w:bookmarkEnd w:id="25"/>
    </w:p>
    <w:p w:rsidR="009775D7" w:rsidRPr="00E04A13" w:rsidRDefault="009775D7" w:rsidP="009775D7">
      <w:pPr>
        <w:rPr>
          <w:lang w:val="en-GB"/>
        </w:rPr>
      </w:pPr>
      <w:r w:rsidRPr="00E04A13">
        <w:rPr>
          <w:lang w:val="en-GB"/>
        </w:rPr>
        <w:t xml:space="preserve">Complementing the earlier discussion, which looked as patents for environment-related technologies as one of the most important – and most easily quantifiable – </w:t>
      </w:r>
      <w:r w:rsidRPr="00E04A13">
        <w:rPr>
          <w:i/>
          <w:lang w:val="en-GB"/>
        </w:rPr>
        <w:t xml:space="preserve">outputs </w:t>
      </w:r>
      <w:r w:rsidRPr="00E04A13">
        <w:rPr>
          <w:lang w:val="en-GB"/>
        </w:rPr>
        <w:t xml:space="preserve">of innovation activity, the following section looks at one important </w:t>
      </w:r>
      <w:r w:rsidRPr="00E04A13">
        <w:rPr>
          <w:i/>
          <w:lang w:val="en-GB"/>
        </w:rPr>
        <w:t>input</w:t>
      </w:r>
      <w:r w:rsidRPr="00E04A13">
        <w:rPr>
          <w:lang w:val="en-GB"/>
        </w:rPr>
        <w:t xml:space="preserve"> to innovation: public research funding. The following table provides an overview of public funding for environmental research in selected countries </w:t>
      </w:r>
      <w:r w:rsidR="00AF7738">
        <w:rPr>
          <w:lang w:val="en-GB"/>
        </w:rPr>
        <w:t>between 1991 and</w:t>
      </w:r>
      <w:r w:rsidRPr="00E04A13">
        <w:rPr>
          <w:lang w:val="en-GB"/>
        </w:rPr>
        <w:t xml:space="preserve"> 2009. The indicator used is the share of environmental research in total state expenditure for civil R&amp;D</w:t>
      </w:r>
      <w:r w:rsidR="00B33059" w:rsidRPr="00E04A13">
        <w:rPr>
          <w:lang w:val="en-GB"/>
        </w:rPr>
        <w:t>.</w:t>
      </w:r>
      <w:r w:rsidR="00B174D1" w:rsidRPr="00E04A13">
        <w:rPr>
          <w:rStyle w:val="FootnoteReference"/>
          <w:lang w:val="en-GB"/>
        </w:rPr>
        <w:footnoteReference w:id="10"/>
      </w:r>
    </w:p>
    <w:p w:rsidR="009775D7" w:rsidRPr="00E04A13" w:rsidRDefault="009775D7" w:rsidP="009775D7">
      <w:pPr>
        <w:pStyle w:val="Caption"/>
        <w:keepNext/>
        <w:rPr>
          <w:lang w:val="en-GB"/>
        </w:rPr>
      </w:pPr>
      <w:bookmarkStart w:id="26" w:name="_Toc252202023"/>
      <w:r w:rsidRPr="00E04A13">
        <w:rPr>
          <w:lang w:val="en-GB"/>
        </w:rPr>
        <w:t xml:space="preserve">Table </w:t>
      </w:r>
      <w:r w:rsidR="00EA4FE5" w:rsidRPr="00E04A13">
        <w:rPr>
          <w:lang w:val="en-GB"/>
        </w:rPr>
        <w:fldChar w:fldCharType="begin"/>
      </w:r>
      <w:r w:rsidR="00053139" w:rsidRPr="00E04A13">
        <w:rPr>
          <w:lang w:val="en-GB"/>
        </w:rPr>
        <w:instrText xml:space="preserve"> SEQ Table \* ARABIC </w:instrText>
      </w:r>
      <w:r w:rsidR="00EA4FE5" w:rsidRPr="00E04A13">
        <w:rPr>
          <w:lang w:val="en-GB"/>
        </w:rPr>
        <w:fldChar w:fldCharType="separate"/>
      </w:r>
      <w:r w:rsidR="00503F5D">
        <w:rPr>
          <w:noProof/>
          <w:lang w:val="en-GB"/>
        </w:rPr>
        <w:t>4</w:t>
      </w:r>
      <w:r w:rsidR="00EA4FE5" w:rsidRPr="00E04A13">
        <w:rPr>
          <w:lang w:val="en-GB"/>
        </w:rPr>
        <w:fldChar w:fldCharType="end"/>
      </w:r>
      <w:r w:rsidRPr="00E04A13">
        <w:rPr>
          <w:lang w:val="en-GB"/>
        </w:rPr>
        <w:t>: Share of environmental research in state expenditure for civil R&amp;D, 1991 - 2009</w:t>
      </w:r>
      <w:bookmarkEnd w:id="26"/>
    </w:p>
    <w:tbl>
      <w:tblPr>
        <w:tblStyle w:val="TableGrid"/>
        <w:tblW w:w="0" w:type="auto"/>
        <w:tblLook w:val="00BF"/>
      </w:tblPr>
      <w:tblGrid>
        <w:gridCol w:w="1522"/>
        <w:gridCol w:w="706"/>
        <w:gridCol w:w="706"/>
        <w:gridCol w:w="706"/>
        <w:gridCol w:w="706"/>
        <w:gridCol w:w="706"/>
        <w:gridCol w:w="706"/>
        <w:gridCol w:w="706"/>
        <w:gridCol w:w="706"/>
        <w:gridCol w:w="706"/>
        <w:gridCol w:w="706"/>
        <w:gridCol w:w="706"/>
      </w:tblGrid>
      <w:tr w:rsidR="009775D7" w:rsidRPr="00E04A13">
        <w:tc>
          <w:tcPr>
            <w:tcW w:w="1522" w:type="dxa"/>
          </w:tcPr>
          <w:p w:rsidR="009775D7" w:rsidRPr="00E04A13" w:rsidRDefault="009775D7" w:rsidP="00A54374">
            <w:pPr>
              <w:rPr>
                <w:lang w:val="en-GB"/>
              </w:rPr>
            </w:pPr>
          </w:p>
        </w:tc>
        <w:tc>
          <w:tcPr>
            <w:tcW w:w="706" w:type="dxa"/>
          </w:tcPr>
          <w:p w:rsidR="009775D7" w:rsidRPr="00E04A13" w:rsidRDefault="009775D7" w:rsidP="00A54374">
            <w:pPr>
              <w:rPr>
                <w:lang w:val="en-GB"/>
              </w:rPr>
            </w:pPr>
            <w:r w:rsidRPr="00E04A13">
              <w:rPr>
                <w:lang w:val="en-GB"/>
              </w:rPr>
              <w:t>1991</w:t>
            </w:r>
          </w:p>
        </w:tc>
        <w:tc>
          <w:tcPr>
            <w:tcW w:w="706" w:type="dxa"/>
          </w:tcPr>
          <w:p w:rsidR="009775D7" w:rsidRPr="00E04A13" w:rsidRDefault="009775D7" w:rsidP="00A54374">
            <w:pPr>
              <w:rPr>
                <w:lang w:val="en-GB"/>
              </w:rPr>
            </w:pPr>
            <w:r w:rsidRPr="00E04A13">
              <w:rPr>
                <w:lang w:val="en-GB"/>
              </w:rPr>
              <w:t>1995</w:t>
            </w:r>
          </w:p>
        </w:tc>
        <w:tc>
          <w:tcPr>
            <w:tcW w:w="706" w:type="dxa"/>
          </w:tcPr>
          <w:p w:rsidR="009775D7" w:rsidRPr="00E04A13" w:rsidRDefault="009775D7" w:rsidP="00A54374">
            <w:pPr>
              <w:rPr>
                <w:lang w:val="en-GB"/>
              </w:rPr>
            </w:pPr>
            <w:r w:rsidRPr="00E04A13">
              <w:rPr>
                <w:lang w:val="en-GB"/>
              </w:rPr>
              <w:t>2001</w:t>
            </w:r>
          </w:p>
        </w:tc>
        <w:tc>
          <w:tcPr>
            <w:tcW w:w="706" w:type="dxa"/>
          </w:tcPr>
          <w:p w:rsidR="009775D7" w:rsidRPr="00E04A13" w:rsidRDefault="009775D7" w:rsidP="00A54374">
            <w:pPr>
              <w:rPr>
                <w:lang w:val="en-GB"/>
              </w:rPr>
            </w:pPr>
            <w:r w:rsidRPr="00E04A13">
              <w:rPr>
                <w:lang w:val="en-GB"/>
              </w:rPr>
              <w:t>2002</w:t>
            </w:r>
          </w:p>
        </w:tc>
        <w:tc>
          <w:tcPr>
            <w:tcW w:w="706" w:type="dxa"/>
          </w:tcPr>
          <w:p w:rsidR="009775D7" w:rsidRPr="00E04A13" w:rsidRDefault="009775D7" w:rsidP="00A54374">
            <w:pPr>
              <w:rPr>
                <w:lang w:val="en-GB"/>
              </w:rPr>
            </w:pPr>
            <w:r w:rsidRPr="00E04A13">
              <w:rPr>
                <w:lang w:val="en-GB"/>
              </w:rPr>
              <w:t>2003</w:t>
            </w:r>
          </w:p>
        </w:tc>
        <w:tc>
          <w:tcPr>
            <w:tcW w:w="706" w:type="dxa"/>
          </w:tcPr>
          <w:p w:rsidR="009775D7" w:rsidRPr="00E04A13" w:rsidRDefault="009775D7" w:rsidP="00A54374">
            <w:pPr>
              <w:rPr>
                <w:lang w:val="en-GB"/>
              </w:rPr>
            </w:pPr>
            <w:r w:rsidRPr="00E04A13">
              <w:rPr>
                <w:lang w:val="en-GB"/>
              </w:rPr>
              <w:t>2004</w:t>
            </w:r>
          </w:p>
        </w:tc>
        <w:tc>
          <w:tcPr>
            <w:tcW w:w="706" w:type="dxa"/>
          </w:tcPr>
          <w:p w:rsidR="009775D7" w:rsidRPr="00E04A13" w:rsidRDefault="009775D7" w:rsidP="00A54374">
            <w:pPr>
              <w:rPr>
                <w:lang w:val="en-GB"/>
              </w:rPr>
            </w:pPr>
            <w:r w:rsidRPr="00E04A13">
              <w:rPr>
                <w:lang w:val="en-GB"/>
              </w:rPr>
              <w:t>2005</w:t>
            </w:r>
          </w:p>
        </w:tc>
        <w:tc>
          <w:tcPr>
            <w:tcW w:w="706" w:type="dxa"/>
          </w:tcPr>
          <w:p w:rsidR="009775D7" w:rsidRPr="00E04A13" w:rsidRDefault="009775D7" w:rsidP="00A54374">
            <w:pPr>
              <w:rPr>
                <w:lang w:val="en-GB"/>
              </w:rPr>
            </w:pPr>
            <w:r w:rsidRPr="00E04A13">
              <w:rPr>
                <w:lang w:val="en-GB"/>
              </w:rPr>
              <w:t>2006</w:t>
            </w:r>
          </w:p>
        </w:tc>
        <w:tc>
          <w:tcPr>
            <w:tcW w:w="706" w:type="dxa"/>
          </w:tcPr>
          <w:p w:rsidR="009775D7" w:rsidRPr="00E04A13" w:rsidRDefault="009775D7" w:rsidP="00A54374">
            <w:pPr>
              <w:rPr>
                <w:lang w:val="en-GB"/>
              </w:rPr>
            </w:pPr>
            <w:r w:rsidRPr="00E04A13">
              <w:rPr>
                <w:lang w:val="en-GB"/>
              </w:rPr>
              <w:t>2007</w:t>
            </w:r>
          </w:p>
        </w:tc>
        <w:tc>
          <w:tcPr>
            <w:tcW w:w="706" w:type="dxa"/>
          </w:tcPr>
          <w:p w:rsidR="009775D7" w:rsidRPr="00E04A13" w:rsidRDefault="009775D7" w:rsidP="00A54374">
            <w:pPr>
              <w:rPr>
                <w:lang w:val="en-GB"/>
              </w:rPr>
            </w:pPr>
            <w:r w:rsidRPr="00E04A13">
              <w:rPr>
                <w:lang w:val="en-GB"/>
              </w:rPr>
              <w:t>2008</w:t>
            </w:r>
          </w:p>
        </w:tc>
        <w:tc>
          <w:tcPr>
            <w:tcW w:w="706" w:type="dxa"/>
          </w:tcPr>
          <w:p w:rsidR="009775D7" w:rsidRPr="00E04A13" w:rsidRDefault="009775D7" w:rsidP="00A54374">
            <w:pPr>
              <w:rPr>
                <w:lang w:val="en-GB"/>
              </w:rPr>
            </w:pPr>
            <w:r w:rsidRPr="00E04A13">
              <w:rPr>
                <w:lang w:val="en-GB"/>
              </w:rPr>
              <w:t>2009</w:t>
            </w:r>
          </w:p>
        </w:tc>
      </w:tr>
      <w:tr w:rsidR="009775D7" w:rsidRPr="00E04A13">
        <w:tc>
          <w:tcPr>
            <w:tcW w:w="1522" w:type="dxa"/>
            <w:vAlign w:val="center"/>
          </w:tcPr>
          <w:p w:rsidR="009775D7" w:rsidRPr="00E04A13" w:rsidRDefault="009775D7" w:rsidP="00A54374">
            <w:pPr>
              <w:jc w:val="left"/>
              <w:rPr>
                <w:lang w:val="en-GB"/>
              </w:rPr>
            </w:pPr>
            <w:r w:rsidRPr="00E04A13">
              <w:rPr>
                <w:lang w:val="en-GB"/>
              </w:rPr>
              <w:t>Germany</w:t>
            </w:r>
          </w:p>
        </w:tc>
        <w:tc>
          <w:tcPr>
            <w:tcW w:w="706" w:type="dxa"/>
            <w:vAlign w:val="center"/>
          </w:tcPr>
          <w:p w:rsidR="009775D7" w:rsidRPr="00E04A13" w:rsidRDefault="009775D7" w:rsidP="00A54374">
            <w:pPr>
              <w:jc w:val="right"/>
              <w:rPr>
                <w:lang w:val="en-GB"/>
              </w:rPr>
            </w:pPr>
            <w:r w:rsidRPr="00E04A13">
              <w:rPr>
                <w:lang w:val="en-GB"/>
              </w:rPr>
              <w:t xml:space="preserve">3.8 </w:t>
            </w:r>
          </w:p>
        </w:tc>
        <w:tc>
          <w:tcPr>
            <w:tcW w:w="706" w:type="dxa"/>
            <w:vAlign w:val="center"/>
          </w:tcPr>
          <w:p w:rsidR="009775D7" w:rsidRPr="00E04A13" w:rsidRDefault="009775D7" w:rsidP="00A54374">
            <w:pPr>
              <w:jc w:val="right"/>
              <w:rPr>
                <w:lang w:val="en-GB"/>
              </w:rPr>
            </w:pPr>
            <w:r w:rsidRPr="00E04A13">
              <w:rPr>
                <w:lang w:val="en-GB"/>
              </w:rPr>
              <w:t xml:space="preserve">3.9 </w:t>
            </w:r>
          </w:p>
        </w:tc>
        <w:tc>
          <w:tcPr>
            <w:tcW w:w="706" w:type="dxa"/>
            <w:vAlign w:val="center"/>
          </w:tcPr>
          <w:p w:rsidR="009775D7" w:rsidRPr="00E04A13" w:rsidRDefault="009775D7" w:rsidP="00A54374">
            <w:pPr>
              <w:jc w:val="right"/>
              <w:rPr>
                <w:lang w:val="en-GB"/>
              </w:rPr>
            </w:pPr>
            <w:r w:rsidRPr="00E04A13">
              <w:rPr>
                <w:lang w:val="en-GB"/>
              </w:rPr>
              <w:t xml:space="preserve">3.4 </w:t>
            </w:r>
          </w:p>
        </w:tc>
        <w:tc>
          <w:tcPr>
            <w:tcW w:w="706" w:type="dxa"/>
            <w:vAlign w:val="center"/>
          </w:tcPr>
          <w:p w:rsidR="009775D7" w:rsidRPr="00E04A13" w:rsidRDefault="009775D7" w:rsidP="00A54374">
            <w:pPr>
              <w:jc w:val="right"/>
              <w:rPr>
                <w:lang w:val="en-GB"/>
              </w:rPr>
            </w:pPr>
            <w:r w:rsidRPr="00E04A13">
              <w:rPr>
                <w:lang w:val="en-GB"/>
              </w:rPr>
              <w:t xml:space="preserve">3.3 </w:t>
            </w:r>
          </w:p>
        </w:tc>
        <w:tc>
          <w:tcPr>
            <w:tcW w:w="706" w:type="dxa"/>
            <w:vAlign w:val="center"/>
          </w:tcPr>
          <w:p w:rsidR="009775D7" w:rsidRPr="00E04A13" w:rsidRDefault="009775D7" w:rsidP="00A54374">
            <w:pPr>
              <w:jc w:val="right"/>
              <w:rPr>
                <w:lang w:val="en-GB"/>
              </w:rPr>
            </w:pPr>
            <w:r w:rsidRPr="00E04A13">
              <w:rPr>
                <w:lang w:val="en-GB"/>
              </w:rPr>
              <w:t xml:space="preserve">3.5 </w:t>
            </w:r>
          </w:p>
        </w:tc>
        <w:tc>
          <w:tcPr>
            <w:tcW w:w="706" w:type="dxa"/>
            <w:vAlign w:val="center"/>
          </w:tcPr>
          <w:p w:rsidR="009775D7" w:rsidRPr="00E04A13" w:rsidRDefault="009775D7" w:rsidP="00A54374">
            <w:pPr>
              <w:jc w:val="right"/>
              <w:rPr>
                <w:lang w:val="en-GB"/>
              </w:rPr>
            </w:pPr>
            <w:r w:rsidRPr="00E04A13">
              <w:rPr>
                <w:lang w:val="en-GB"/>
              </w:rPr>
              <w:t xml:space="preserve">3.7 </w:t>
            </w:r>
          </w:p>
        </w:tc>
        <w:tc>
          <w:tcPr>
            <w:tcW w:w="706" w:type="dxa"/>
            <w:vAlign w:val="center"/>
          </w:tcPr>
          <w:p w:rsidR="009775D7" w:rsidRPr="00E04A13" w:rsidRDefault="009775D7" w:rsidP="00A54374">
            <w:pPr>
              <w:jc w:val="right"/>
              <w:rPr>
                <w:lang w:val="en-GB"/>
              </w:rPr>
            </w:pPr>
            <w:r w:rsidRPr="00E04A13">
              <w:rPr>
                <w:lang w:val="en-GB"/>
              </w:rPr>
              <w:t xml:space="preserve">3.7 </w:t>
            </w:r>
          </w:p>
        </w:tc>
        <w:tc>
          <w:tcPr>
            <w:tcW w:w="706" w:type="dxa"/>
            <w:vAlign w:val="center"/>
          </w:tcPr>
          <w:p w:rsidR="009775D7" w:rsidRPr="00E04A13" w:rsidRDefault="009775D7" w:rsidP="00A54374">
            <w:pPr>
              <w:jc w:val="right"/>
              <w:rPr>
                <w:lang w:val="en-GB"/>
              </w:rPr>
            </w:pPr>
            <w:r w:rsidRPr="00E04A13">
              <w:rPr>
                <w:lang w:val="en-GB"/>
              </w:rPr>
              <w:t xml:space="preserve">3.3 </w:t>
            </w:r>
          </w:p>
        </w:tc>
        <w:tc>
          <w:tcPr>
            <w:tcW w:w="706" w:type="dxa"/>
            <w:vAlign w:val="center"/>
          </w:tcPr>
          <w:p w:rsidR="009775D7" w:rsidRPr="00E04A13" w:rsidRDefault="009775D7" w:rsidP="00A54374">
            <w:pPr>
              <w:jc w:val="right"/>
              <w:rPr>
                <w:lang w:val="en-GB"/>
              </w:rPr>
            </w:pPr>
            <w:r w:rsidRPr="00E04A13">
              <w:rPr>
                <w:lang w:val="en-GB"/>
              </w:rPr>
              <w:t xml:space="preserve">3.4 </w:t>
            </w:r>
          </w:p>
        </w:tc>
        <w:tc>
          <w:tcPr>
            <w:tcW w:w="706" w:type="dxa"/>
            <w:vAlign w:val="center"/>
          </w:tcPr>
          <w:p w:rsidR="009775D7" w:rsidRPr="00E04A13" w:rsidRDefault="009775D7" w:rsidP="00A54374">
            <w:pPr>
              <w:jc w:val="right"/>
              <w:rPr>
                <w:lang w:val="en-GB"/>
              </w:rPr>
            </w:pPr>
            <w:r w:rsidRPr="00E04A13">
              <w:rPr>
                <w:lang w:val="en-GB"/>
              </w:rPr>
              <w:t xml:space="preserve">3.2 </w:t>
            </w:r>
          </w:p>
        </w:tc>
        <w:tc>
          <w:tcPr>
            <w:tcW w:w="706" w:type="dxa"/>
            <w:vAlign w:val="center"/>
          </w:tcPr>
          <w:p w:rsidR="009775D7" w:rsidRPr="00E04A13" w:rsidRDefault="009775D7" w:rsidP="00A54374">
            <w:pPr>
              <w:jc w:val="right"/>
              <w:rPr>
                <w:lang w:val="en-GB"/>
              </w:rPr>
            </w:pPr>
            <w:r w:rsidRPr="00E04A13">
              <w:rPr>
                <w:lang w:val="en-GB"/>
              </w:rPr>
              <w:t xml:space="preserve">3.3 </w:t>
            </w:r>
          </w:p>
        </w:tc>
      </w:tr>
      <w:tr w:rsidR="009775D7" w:rsidRPr="00E04A13">
        <w:tc>
          <w:tcPr>
            <w:tcW w:w="1522" w:type="dxa"/>
            <w:vAlign w:val="center"/>
          </w:tcPr>
          <w:p w:rsidR="009775D7" w:rsidRPr="00E04A13" w:rsidRDefault="009775D7" w:rsidP="00A54374">
            <w:pPr>
              <w:jc w:val="left"/>
              <w:rPr>
                <w:lang w:val="en-GB"/>
              </w:rPr>
            </w:pPr>
            <w:r w:rsidRPr="00E04A13">
              <w:rPr>
                <w:lang w:val="en-GB"/>
              </w:rPr>
              <w:t>Italy</w:t>
            </w:r>
          </w:p>
        </w:tc>
        <w:tc>
          <w:tcPr>
            <w:tcW w:w="706" w:type="dxa"/>
            <w:vAlign w:val="center"/>
          </w:tcPr>
          <w:p w:rsidR="009775D7" w:rsidRPr="00E04A13" w:rsidRDefault="009775D7" w:rsidP="00A54374">
            <w:pPr>
              <w:jc w:val="right"/>
              <w:rPr>
                <w:lang w:val="en-GB"/>
              </w:rPr>
            </w:pPr>
            <w:r w:rsidRPr="00E04A13">
              <w:rPr>
                <w:lang w:val="en-GB"/>
              </w:rPr>
              <w:t xml:space="preserve">3.1 </w:t>
            </w:r>
          </w:p>
        </w:tc>
        <w:tc>
          <w:tcPr>
            <w:tcW w:w="706" w:type="dxa"/>
            <w:vAlign w:val="center"/>
          </w:tcPr>
          <w:p w:rsidR="009775D7" w:rsidRPr="00E04A13" w:rsidRDefault="009775D7" w:rsidP="00A54374">
            <w:pPr>
              <w:jc w:val="right"/>
              <w:rPr>
                <w:lang w:val="en-GB"/>
              </w:rPr>
            </w:pPr>
            <w:r w:rsidRPr="00E04A13">
              <w:rPr>
                <w:lang w:val="en-GB"/>
              </w:rPr>
              <w:t xml:space="preserve">2.5 </w:t>
            </w:r>
          </w:p>
        </w:tc>
        <w:tc>
          <w:tcPr>
            <w:tcW w:w="706" w:type="dxa"/>
            <w:vAlign w:val="center"/>
          </w:tcPr>
          <w:p w:rsidR="009775D7" w:rsidRPr="00E04A13" w:rsidRDefault="009775D7" w:rsidP="00A54374">
            <w:pPr>
              <w:jc w:val="right"/>
              <w:rPr>
                <w:lang w:val="en-GB"/>
              </w:rPr>
            </w:pPr>
            <w:r w:rsidRPr="00E04A13">
              <w:rPr>
                <w:lang w:val="en-GB"/>
              </w:rPr>
              <w:t xml:space="preserve">2.4 </w:t>
            </w:r>
          </w:p>
        </w:tc>
        <w:tc>
          <w:tcPr>
            <w:tcW w:w="706" w:type="dxa"/>
            <w:vAlign w:val="center"/>
          </w:tcPr>
          <w:p w:rsidR="009775D7" w:rsidRPr="00E04A13" w:rsidRDefault="009775D7" w:rsidP="00A54374">
            <w:pPr>
              <w:jc w:val="right"/>
              <w:rPr>
                <w:lang w:val="en-GB"/>
              </w:rPr>
            </w:pPr>
            <w:r w:rsidRPr="00E04A13">
              <w:rPr>
                <w:lang w:val="en-GB"/>
              </w:rPr>
              <w:t xml:space="preserve">– </w:t>
            </w:r>
          </w:p>
        </w:tc>
        <w:tc>
          <w:tcPr>
            <w:tcW w:w="706" w:type="dxa"/>
            <w:vAlign w:val="center"/>
          </w:tcPr>
          <w:p w:rsidR="009775D7" w:rsidRPr="00E04A13" w:rsidRDefault="009775D7" w:rsidP="00A54374">
            <w:pPr>
              <w:jc w:val="right"/>
              <w:rPr>
                <w:lang w:val="en-GB"/>
              </w:rPr>
            </w:pPr>
            <w:r w:rsidRPr="00E04A13">
              <w:rPr>
                <w:lang w:val="en-GB"/>
              </w:rPr>
              <w:t xml:space="preserve">– </w:t>
            </w:r>
          </w:p>
        </w:tc>
        <w:tc>
          <w:tcPr>
            <w:tcW w:w="706" w:type="dxa"/>
            <w:vAlign w:val="center"/>
          </w:tcPr>
          <w:p w:rsidR="009775D7" w:rsidRPr="00E04A13" w:rsidRDefault="009775D7" w:rsidP="00A54374">
            <w:pPr>
              <w:jc w:val="right"/>
              <w:rPr>
                <w:lang w:val="en-GB"/>
              </w:rPr>
            </w:pPr>
            <w:r w:rsidRPr="00E04A13">
              <w:rPr>
                <w:lang w:val="en-GB"/>
              </w:rPr>
              <w:t xml:space="preserve">– </w:t>
            </w:r>
          </w:p>
        </w:tc>
        <w:tc>
          <w:tcPr>
            <w:tcW w:w="706" w:type="dxa"/>
            <w:vAlign w:val="center"/>
          </w:tcPr>
          <w:p w:rsidR="009775D7" w:rsidRPr="00E04A13" w:rsidRDefault="009775D7" w:rsidP="00A54374">
            <w:pPr>
              <w:jc w:val="right"/>
              <w:rPr>
                <w:lang w:val="en-GB"/>
              </w:rPr>
            </w:pPr>
            <w:r w:rsidRPr="00E04A13">
              <w:rPr>
                <w:lang w:val="en-GB"/>
              </w:rPr>
              <w:t xml:space="preserve">2.8 </w:t>
            </w:r>
          </w:p>
        </w:tc>
        <w:tc>
          <w:tcPr>
            <w:tcW w:w="706" w:type="dxa"/>
            <w:vAlign w:val="center"/>
          </w:tcPr>
          <w:p w:rsidR="009775D7" w:rsidRPr="00E04A13" w:rsidRDefault="009775D7" w:rsidP="00A54374">
            <w:pPr>
              <w:jc w:val="right"/>
              <w:rPr>
                <w:lang w:val="en-GB"/>
              </w:rPr>
            </w:pPr>
            <w:r w:rsidRPr="00E04A13">
              <w:rPr>
                <w:lang w:val="en-GB"/>
              </w:rPr>
              <w:t xml:space="preserve">2.6 </w:t>
            </w:r>
          </w:p>
        </w:tc>
        <w:tc>
          <w:tcPr>
            <w:tcW w:w="706" w:type="dxa"/>
            <w:vAlign w:val="center"/>
          </w:tcPr>
          <w:p w:rsidR="009775D7" w:rsidRPr="00E04A13" w:rsidRDefault="009775D7" w:rsidP="00A54374">
            <w:pPr>
              <w:jc w:val="right"/>
              <w:rPr>
                <w:lang w:val="en-GB"/>
              </w:rPr>
            </w:pPr>
            <w:r w:rsidRPr="00E04A13">
              <w:rPr>
                <w:lang w:val="en-GB"/>
              </w:rPr>
              <w:t xml:space="preserve">3.6 </w:t>
            </w:r>
          </w:p>
        </w:tc>
        <w:tc>
          <w:tcPr>
            <w:tcW w:w="706" w:type="dxa"/>
            <w:vAlign w:val="center"/>
          </w:tcPr>
          <w:p w:rsidR="009775D7" w:rsidRPr="00E04A13" w:rsidRDefault="009775D7" w:rsidP="00A54374">
            <w:pPr>
              <w:jc w:val="right"/>
              <w:rPr>
                <w:lang w:val="en-GB"/>
              </w:rPr>
            </w:pPr>
            <w:r w:rsidRPr="00E04A13">
              <w:rPr>
                <w:lang w:val="en-GB"/>
              </w:rPr>
              <w:t xml:space="preserve">4.1 </w:t>
            </w:r>
          </w:p>
        </w:tc>
        <w:tc>
          <w:tcPr>
            <w:tcW w:w="706" w:type="dxa"/>
            <w:vAlign w:val="center"/>
          </w:tcPr>
          <w:p w:rsidR="009775D7" w:rsidRPr="00E04A13" w:rsidRDefault="009775D7" w:rsidP="00A54374">
            <w:pPr>
              <w:jc w:val="right"/>
              <w:rPr>
                <w:lang w:val="en-GB"/>
              </w:rPr>
            </w:pPr>
            <w:r w:rsidRPr="00E04A13">
              <w:rPr>
                <w:lang w:val="en-GB"/>
              </w:rPr>
              <w:t xml:space="preserve">3.2 </w:t>
            </w:r>
          </w:p>
        </w:tc>
      </w:tr>
      <w:tr w:rsidR="009775D7" w:rsidRPr="00E04A13">
        <w:tc>
          <w:tcPr>
            <w:tcW w:w="1522" w:type="dxa"/>
            <w:vAlign w:val="center"/>
          </w:tcPr>
          <w:p w:rsidR="009775D7" w:rsidRPr="00E04A13" w:rsidRDefault="009775D7" w:rsidP="00A54374">
            <w:pPr>
              <w:jc w:val="left"/>
              <w:rPr>
                <w:lang w:val="en-GB"/>
              </w:rPr>
            </w:pPr>
            <w:r w:rsidRPr="00E04A13">
              <w:rPr>
                <w:lang w:val="en-GB"/>
              </w:rPr>
              <w:t>Poland</w:t>
            </w:r>
          </w:p>
        </w:tc>
        <w:tc>
          <w:tcPr>
            <w:tcW w:w="706" w:type="dxa"/>
            <w:vAlign w:val="center"/>
          </w:tcPr>
          <w:p w:rsidR="009775D7" w:rsidRPr="00E04A13" w:rsidRDefault="009775D7" w:rsidP="00A54374">
            <w:pPr>
              <w:jc w:val="right"/>
              <w:rPr>
                <w:lang w:val="en-GB"/>
              </w:rPr>
            </w:pPr>
            <w:r w:rsidRPr="00E04A13">
              <w:rPr>
                <w:lang w:val="en-GB"/>
              </w:rPr>
              <w:t>-</w:t>
            </w:r>
          </w:p>
        </w:tc>
        <w:tc>
          <w:tcPr>
            <w:tcW w:w="706" w:type="dxa"/>
            <w:vAlign w:val="center"/>
          </w:tcPr>
          <w:p w:rsidR="009775D7" w:rsidRPr="00E04A13" w:rsidRDefault="009775D7" w:rsidP="00A54374">
            <w:pPr>
              <w:jc w:val="right"/>
              <w:rPr>
                <w:lang w:val="en-GB"/>
              </w:rPr>
            </w:pPr>
            <w:r w:rsidRPr="00E04A13">
              <w:rPr>
                <w:lang w:val="en-GB"/>
              </w:rPr>
              <w:t>-</w:t>
            </w:r>
          </w:p>
        </w:tc>
        <w:tc>
          <w:tcPr>
            <w:tcW w:w="706" w:type="dxa"/>
            <w:vAlign w:val="center"/>
          </w:tcPr>
          <w:p w:rsidR="009775D7" w:rsidRPr="00E04A13" w:rsidRDefault="009775D7" w:rsidP="00A54374">
            <w:pPr>
              <w:jc w:val="right"/>
              <w:rPr>
                <w:lang w:val="en-GB"/>
              </w:rPr>
            </w:pPr>
            <w:r w:rsidRPr="00E04A13">
              <w:rPr>
                <w:lang w:val="en-GB"/>
              </w:rPr>
              <w:t>-</w:t>
            </w:r>
          </w:p>
        </w:tc>
        <w:tc>
          <w:tcPr>
            <w:tcW w:w="706" w:type="dxa"/>
            <w:vAlign w:val="center"/>
          </w:tcPr>
          <w:p w:rsidR="009775D7" w:rsidRPr="00E04A13" w:rsidRDefault="009775D7" w:rsidP="00A54374">
            <w:pPr>
              <w:jc w:val="right"/>
              <w:rPr>
                <w:lang w:val="en-GB"/>
              </w:rPr>
            </w:pPr>
            <w:r w:rsidRPr="00E04A13">
              <w:rPr>
                <w:lang w:val="en-GB"/>
              </w:rPr>
              <w:t>-</w:t>
            </w:r>
          </w:p>
        </w:tc>
        <w:tc>
          <w:tcPr>
            <w:tcW w:w="706" w:type="dxa"/>
            <w:vAlign w:val="center"/>
          </w:tcPr>
          <w:p w:rsidR="009775D7" w:rsidRPr="00E04A13" w:rsidRDefault="009775D7" w:rsidP="00A54374">
            <w:pPr>
              <w:jc w:val="right"/>
              <w:rPr>
                <w:lang w:val="en-GB"/>
              </w:rPr>
            </w:pPr>
            <w:r w:rsidRPr="00E04A13">
              <w:rPr>
                <w:lang w:val="en-GB"/>
              </w:rPr>
              <w:t>-</w:t>
            </w:r>
          </w:p>
        </w:tc>
        <w:tc>
          <w:tcPr>
            <w:tcW w:w="706" w:type="dxa"/>
            <w:vAlign w:val="center"/>
          </w:tcPr>
          <w:p w:rsidR="009775D7" w:rsidRPr="00E04A13" w:rsidRDefault="009775D7" w:rsidP="00A54374">
            <w:pPr>
              <w:pStyle w:val="Default"/>
              <w:jc w:val="right"/>
              <w:rPr>
                <w:rFonts w:ascii="Arial" w:hAnsi="Arial" w:cs="Times New Roman"/>
                <w:color w:val="auto"/>
                <w:sz w:val="22"/>
                <w:szCs w:val="22"/>
                <w:lang w:val="en-GB"/>
              </w:rPr>
            </w:pPr>
            <w:r w:rsidRPr="00E04A13">
              <w:rPr>
                <w:rFonts w:ascii="Arial" w:hAnsi="Arial" w:cs="Times New Roman"/>
                <w:color w:val="auto"/>
                <w:sz w:val="22"/>
                <w:szCs w:val="22"/>
                <w:lang w:val="en-GB"/>
              </w:rPr>
              <w:t xml:space="preserve">0.1 </w:t>
            </w:r>
          </w:p>
        </w:tc>
        <w:tc>
          <w:tcPr>
            <w:tcW w:w="706" w:type="dxa"/>
            <w:vAlign w:val="center"/>
          </w:tcPr>
          <w:p w:rsidR="009775D7" w:rsidRPr="00E04A13" w:rsidRDefault="009775D7" w:rsidP="00A54374">
            <w:pPr>
              <w:pStyle w:val="Default"/>
              <w:jc w:val="right"/>
              <w:rPr>
                <w:rFonts w:ascii="Arial" w:hAnsi="Arial" w:cs="Times New Roman"/>
                <w:color w:val="auto"/>
                <w:sz w:val="22"/>
                <w:szCs w:val="22"/>
                <w:lang w:val="en-GB"/>
              </w:rPr>
            </w:pPr>
            <w:r w:rsidRPr="00E04A13">
              <w:rPr>
                <w:rFonts w:ascii="Arial" w:hAnsi="Arial" w:cs="Times New Roman"/>
                <w:color w:val="auto"/>
                <w:sz w:val="22"/>
                <w:szCs w:val="22"/>
                <w:lang w:val="en-GB"/>
              </w:rPr>
              <w:t xml:space="preserve">2.4 </w:t>
            </w:r>
          </w:p>
        </w:tc>
        <w:tc>
          <w:tcPr>
            <w:tcW w:w="706" w:type="dxa"/>
            <w:vAlign w:val="center"/>
          </w:tcPr>
          <w:p w:rsidR="009775D7" w:rsidRPr="00E04A13" w:rsidRDefault="009775D7" w:rsidP="00A54374">
            <w:pPr>
              <w:pStyle w:val="Default"/>
              <w:jc w:val="right"/>
              <w:rPr>
                <w:rFonts w:ascii="Arial" w:hAnsi="Arial" w:cs="Times New Roman"/>
                <w:color w:val="auto"/>
                <w:sz w:val="22"/>
                <w:szCs w:val="22"/>
                <w:lang w:val="en-GB"/>
              </w:rPr>
            </w:pPr>
            <w:r w:rsidRPr="00E04A13">
              <w:rPr>
                <w:rFonts w:ascii="Arial" w:hAnsi="Arial" w:cs="Times New Roman"/>
                <w:color w:val="auto"/>
                <w:sz w:val="22"/>
                <w:szCs w:val="22"/>
                <w:lang w:val="en-GB"/>
              </w:rPr>
              <w:t xml:space="preserve">1.4 </w:t>
            </w:r>
          </w:p>
        </w:tc>
        <w:tc>
          <w:tcPr>
            <w:tcW w:w="706" w:type="dxa"/>
            <w:vAlign w:val="center"/>
          </w:tcPr>
          <w:p w:rsidR="009775D7" w:rsidRPr="00E04A13" w:rsidRDefault="009775D7" w:rsidP="00A54374">
            <w:pPr>
              <w:pStyle w:val="Default"/>
              <w:jc w:val="right"/>
              <w:rPr>
                <w:rFonts w:ascii="Arial" w:hAnsi="Arial" w:cs="Times New Roman"/>
                <w:color w:val="auto"/>
                <w:sz w:val="22"/>
                <w:szCs w:val="22"/>
                <w:lang w:val="en-GB"/>
              </w:rPr>
            </w:pPr>
            <w:r w:rsidRPr="00E04A13">
              <w:rPr>
                <w:rFonts w:ascii="Arial" w:hAnsi="Arial" w:cs="Times New Roman"/>
                <w:color w:val="auto"/>
                <w:sz w:val="22"/>
                <w:szCs w:val="22"/>
                <w:lang w:val="en-GB"/>
              </w:rPr>
              <w:t xml:space="preserve">2.7 </w:t>
            </w:r>
          </w:p>
        </w:tc>
        <w:tc>
          <w:tcPr>
            <w:tcW w:w="706" w:type="dxa"/>
            <w:vAlign w:val="center"/>
          </w:tcPr>
          <w:p w:rsidR="009775D7" w:rsidRPr="00E04A13" w:rsidRDefault="009775D7" w:rsidP="00A54374">
            <w:pPr>
              <w:pStyle w:val="Default"/>
              <w:jc w:val="right"/>
              <w:rPr>
                <w:rFonts w:ascii="Arial" w:hAnsi="Arial" w:cs="Times New Roman"/>
                <w:color w:val="auto"/>
                <w:sz w:val="22"/>
                <w:szCs w:val="22"/>
                <w:lang w:val="en-GB"/>
              </w:rPr>
            </w:pPr>
            <w:r w:rsidRPr="00E04A13">
              <w:rPr>
                <w:rFonts w:ascii="Arial" w:hAnsi="Arial" w:cs="Times New Roman"/>
                <w:color w:val="auto"/>
                <w:sz w:val="22"/>
                <w:szCs w:val="22"/>
                <w:lang w:val="en-GB"/>
              </w:rPr>
              <w:t xml:space="preserve">3.4 </w:t>
            </w:r>
          </w:p>
        </w:tc>
        <w:tc>
          <w:tcPr>
            <w:tcW w:w="706" w:type="dxa"/>
            <w:vAlign w:val="center"/>
          </w:tcPr>
          <w:p w:rsidR="009775D7" w:rsidRPr="00E04A13" w:rsidRDefault="009775D7" w:rsidP="00A54374">
            <w:pPr>
              <w:jc w:val="right"/>
              <w:rPr>
                <w:lang w:val="en-GB"/>
              </w:rPr>
            </w:pPr>
            <w:r w:rsidRPr="00E04A13">
              <w:rPr>
                <w:lang w:val="en-GB"/>
              </w:rPr>
              <w:t>-</w:t>
            </w:r>
          </w:p>
        </w:tc>
      </w:tr>
      <w:tr w:rsidR="009775D7" w:rsidRPr="00E04A13">
        <w:tc>
          <w:tcPr>
            <w:tcW w:w="1522" w:type="dxa"/>
            <w:vAlign w:val="center"/>
          </w:tcPr>
          <w:p w:rsidR="009775D7" w:rsidRPr="00E04A13" w:rsidRDefault="009775D7" w:rsidP="00A54374">
            <w:pPr>
              <w:jc w:val="left"/>
              <w:rPr>
                <w:lang w:val="en-GB"/>
              </w:rPr>
            </w:pPr>
            <w:r w:rsidRPr="00E04A13">
              <w:rPr>
                <w:lang w:val="en-GB"/>
              </w:rPr>
              <w:t>Portugal</w:t>
            </w:r>
          </w:p>
        </w:tc>
        <w:tc>
          <w:tcPr>
            <w:tcW w:w="706" w:type="dxa"/>
            <w:vAlign w:val="center"/>
          </w:tcPr>
          <w:p w:rsidR="009775D7" w:rsidRPr="00E04A13" w:rsidRDefault="009775D7" w:rsidP="00A54374">
            <w:pPr>
              <w:jc w:val="right"/>
              <w:rPr>
                <w:lang w:val="en-GB"/>
              </w:rPr>
            </w:pPr>
            <w:r w:rsidRPr="00E04A13">
              <w:rPr>
                <w:lang w:val="en-GB"/>
              </w:rPr>
              <w:t xml:space="preserve">3.0 </w:t>
            </w:r>
          </w:p>
        </w:tc>
        <w:tc>
          <w:tcPr>
            <w:tcW w:w="706" w:type="dxa"/>
            <w:vAlign w:val="center"/>
          </w:tcPr>
          <w:p w:rsidR="009775D7" w:rsidRPr="00E04A13" w:rsidRDefault="009775D7" w:rsidP="00A54374">
            <w:pPr>
              <w:jc w:val="right"/>
              <w:rPr>
                <w:lang w:val="en-GB"/>
              </w:rPr>
            </w:pPr>
            <w:r w:rsidRPr="00E04A13">
              <w:rPr>
                <w:lang w:val="en-GB"/>
              </w:rPr>
              <w:t xml:space="preserve">4.5 </w:t>
            </w:r>
          </w:p>
        </w:tc>
        <w:tc>
          <w:tcPr>
            <w:tcW w:w="706" w:type="dxa"/>
            <w:vAlign w:val="center"/>
          </w:tcPr>
          <w:p w:rsidR="009775D7" w:rsidRPr="00E04A13" w:rsidRDefault="009775D7" w:rsidP="00A54374">
            <w:pPr>
              <w:jc w:val="right"/>
              <w:rPr>
                <w:lang w:val="en-GB"/>
              </w:rPr>
            </w:pPr>
            <w:r w:rsidRPr="00E04A13">
              <w:rPr>
                <w:lang w:val="en-GB"/>
              </w:rPr>
              <w:t xml:space="preserve">3.7 </w:t>
            </w:r>
          </w:p>
        </w:tc>
        <w:tc>
          <w:tcPr>
            <w:tcW w:w="706" w:type="dxa"/>
            <w:vAlign w:val="center"/>
          </w:tcPr>
          <w:p w:rsidR="009775D7" w:rsidRPr="00E04A13" w:rsidRDefault="009775D7" w:rsidP="00A54374">
            <w:pPr>
              <w:jc w:val="right"/>
              <w:rPr>
                <w:lang w:val="en-GB"/>
              </w:rPr>
            </w:pPr>
            <w:r w:rsidRPr="00E04A13">
              <w:rPr>
                <w:lang w:val="en-GB"/>
              </w:rPr>
              <w:t xml:space="preserve">3.6 </w:t>
            </w:r>
          </w:p>
        </w:tc>
        <w:tc>
          <w:tcPr>
            <w:tcW w:w="706" w:type="dxa"/>
            <w:vAlign w:val="center"/>
          </w:tcPr>
          <w:p w:rsidR="009775D7" w:rsidRPr="00E04A13" w:rsidRDefault="009775D7" w:rsidP="00A54374">
            <w:pPr>
              <w:jc w:val="right"/>
              <w:rPr>
                <w:lang w:val="en-GB"/>
              </w:rPr>
            </w:pPr>
            <w:r w:rsidRPr="00E04A13">
              <w:rPr>
                <w:lang w:val="en-GB"/>
              </w:rPr>
              <w:t xml:space="preserve">3.4 </w:t>
            </w:r>
          </w:p>
        </w:tc>
        <w:tc>
          <w:tcPr>
            <w:tcW w:w="706" w:type="dxa"/>
            <w:vAlign w:val="center"/>
          </w:tcPr>
          <w:p w:rsidR="009775D7" w:rsidRPr="00E04A13" w:rsidRDefault="009775D7" w:rsidP="00A54374">
            <w:pPr>
              <w:jc w:val="right"/>
              <w:rPr>
                <w:lang w:val="en-GB"/>
              </w:rPr>
            </w:pPr>
            <w:r w:rsidRPr="00E04A13">
              <w:rPr>
                <w:lang w:val="en-GB"/>
              </w:rPr>
              <w:t xml:space="preserve">3.9 </w:t>
            </w:r>
          </w:p>
        </w:tc>
        <w:tc>
          <w:tcPr>
            <w:tcW w:w="706" w:type="dxa"/>
            <w:vAlign w:val="center"/>
          </w:tcPr>
          <w:p w:rsidR="009775D7" w:rsidRPr="00E04A13" w:rsidRDefault="009775D7" w:rsidP="00A54374">
            <w:pPr>
              <w:jc w:val="right"/>
              <w:rPr>
                <w:lang w:val="en-GB"/>
              </w:rPr>
            </w:pPr>
            <w:r w:rsidRPr="00E04A13">
              <w:rPr>
                <w:lang w:val="en-GB"/>
              </w:rPr>
              <w:t xml:space="preserve">4.0 </w:t>
            </w:r>
          </w:p>
        </w:tc>
        <w:tc>
          <w:tcPr>
            <w:tcW w:w="706" w:type="dxa"/>
            <w:vAlign w:val="center"/>
          </w:tcPr>
          <w:p w:rsidR="009775D7" w:rsidRPr="00E04A13" w:rsidRDefault="009775D7" w:rsidP="00A54374">
            <w:pPr>
              <w:jc w:val="right"/>
              <w:rPr>
                <w:lang w:val="en-GB"/>
              </w:rPr>
            </w:pPr>
            <w:r w:rsidRPr="00E04A13">
              <w:rPr>
                <w:lang w:val="en-GB"/>
              </w:rPr>
              <w:t xml:space="preserve">3.4 </w:t>
            </w:r>
          </w:p>
        </w:tc>
        <w:tc>
          <w:tcPr>
            <w:tcW w:w="706" w:type="dxa"/>
            <w:vAlign w:val="center"/>
          </w:tcPr>
          <w:p w:rsidR="009775D7" w:rsidRPr="00E04A13" w:rsidRDefault="009775D7" w:rsidP="00A54374">
            <w:pPr>
              <w:jc w:val="right"/>
              <w:rPr>
                <w:lang w:val="en-GB"/>
              </w:rPr>
            </w:pPr>
            <w:r w:rsidRPr="00E04A13">
              <w:rPr>
                <w:lang w:val="en-GB"/>
              </w:rPr>
              <w:t xml:space="preserve">3.7 </w:t>
            </w:r>
          </w:p>
        </w:tc>
        <w:tc>
          <w:tcPr>
            <w:tcW w:w="706" w:type="dxa"/>
            <w:vAlign w:val="center"/>
          </w:tcPr>
          <w:p w:rsidR="009775D7" w:rsidRPr="00E04A13" w:rsidRDefault="009775D7" w:rsidP="00A54374">
            <w:pPr>
              <w:jc w:val="right"/>
              <w:rPr>
                <w:lang w:val="en-GB"/>
              </w:rPr>
            </w:pPr>
            <w:r w:rsidRPr="00E04A13">
              <w:rPr>
                <w:lang w:val="en-GB"/>
              </w:rPr>
              <w:t xml:space="preserve">3.7 </w:t>
            </w:r>
          </w:p>
        </w:tc>
        <w:tc>
          <w:tcPr>
            <w:tcW w:w="706" w:type="dxa"/>
            <w:vAlign w:val="center"/>
          </w:tcPr>
          <w:p w:rsidR="009775D7" w:rsidRPr="00E04A13" w:rsidRDefault="009775D7" w:rsidP="00A54374">
            <w:pPr>
              <w:jc w:val="right"/>
              <w:rPr>
                <w:lang w:val="en-GB"/>
              </w:rPr>
            </w:pPr>
            <w:r w:rsidRPr="00E04A13">
              <w:rPr>
                <w:lang w:val="en-GB"/>
              </w:rPr>
              <w:t>-</w:t>
            </w:r>
          </w:p>
        </w:tc>
      </w:tr>
      <w:tr w:rsidR="009775D7" w:rsidRPr="00E04A13">
        <w:tc>
          <w:tcPr>
            <w:tcW w:w="1522" w:type="dxa"/>
            <w:vAlign w:val="center"/>
          </w:tcPr>
          <w:p w:rsidR="009775D7" w:rsidRPr="00E04A13" w:rsidRDefault="009775D7" w:rsidP="00A54374">
            <w:pPr>
              <w:jc w:val="left"/>
              <w:rPr>
                <w:lang w:val="en-GB"/>
              </w:rPr>
            </w:pPr>
            <w:r w:rsidRPr="00E04A13">
              <w:rPr>
                <w:lang w:val="en-GB"/>
              </w:rPr>
              <w:t>UK</w:t>
            </w:r>
          </w:p>
        </w:tc>
        <w:tc>
          <w:tcPr>
            <w:tcW w:w="706" w:type="dxa"/>
            <w:vAlign w:val="center"/>
          </w:tcPr>
          <w:p w:rsidR="009775D7" w:rsidRPr="00E04A13" w:rsidRDefault="009775D7" w:rsidP="00A54374">
            <w:pPr>
              <w:jc w:val="right"/>
              <w:rPr>
                <w:lang w:val="en-GB"/>
              </w:rPr>
            </w:pPr>
            <w:r w:rsidRPr="00E04A13">
              <w:rPr>
                <w:lang w:val="en-GB"/>
              </w:rPr>
              <w:t xml:space="preserve">2.6 </w:t>
            </w:r>
          </w:p>
        </w:tc>
        <w:tc>
          <w:tcPr>
            <w:tcW w:w="706" w:type="dxa"/>
            <w:vAlign w:val="center"/>
          </w:tcPr>
          <w:p w:rsidR="009775D7" w:rsidRPr="00E04A13" w:rsidRDefault="009775D7" w:rsidP="00A54374">
            <w:pPr>
              <w:jc w:val="right"/>
              <w:rPr>
                <w:lang w:val="en-GB"/>
              </w:rPr>
            </w:pPr>
            <w:r w:rsidRPr="00E04A13">
              <w:rPr>
                <w:lang w:val="en-GB"/>
              </w:rPr>
              <w:t xml:space="preserve">3.7 </w:t>
            </w:r>
          </w:p>
        </w:tc>
        <w:tc>
          <w:tcPr>
            <w:tcW w:w="706" w:type="dxa"/>
            <w:vAlign w:val="center"/>
          </w:tcPr>
          <w:p w:rsidR="009775D7" w:rsidRPr="00E04A13" w:rsidRDefault="009775D7" w:rsidP="00A54374">
            <w:pPr>
              <w:jc w:val="right"/>
              <w:rPr>
                <w:lang w:val="en-GB"/>
              </w:rPr>
            </w:pPr>
            <w:r w:rsidRPr="00E04A13">
              <w:rPr>
                <w:lang w:val="en-GB"/>
              </w:rPr>
              <w:t xml:space="preserve">2.7 </w:t>
            </w:r>
          </w:p>
        </w:tc>
        <w:tc>
          <w:tcPr>
            <w:tcW w:w="706" w:type="dxa"/>
            <w:vAlign w:val="center"/>
          </w:tcPr>
          <w:p w:rsidR="009775D7" w:rsidRPr="00E04A13" w:rsidRDefault="009775D7" w:rsidP="00A54374">
            <w:pPr>
              <w:jc w:val="right"/>
              <w:rPr>
                <w:lang w:val="en-GB"/>
              </w:rPr>
            </w:pPr>
            <w:r w:rsidRPr="00E04A13">
              <w:rPr>
                <w:lang w:val="en-GB"/>
              </w:rPr>
              <w:t xml:space="preserve">2.4 </w:t>
            </w:r>
          </w:p>
        </w:tc>
        <w:tc>
          <w:tcPr>
            <w:tcW w:w="706" w:type="dxa"/>
            <w:vAlign w:val="center"/>
          </w:tcPr>
          <w:p w:rsidR="009775D7" w:rsidRPr="00E04A13" w:rsidRDefault="009775D7" w:rsidP="00A54374">
            <w:pPr>
              <w:jc w:val="right"/>
              <w:rPr>
                <w:lang w:val="en-GB"/>
              </w:rPr>
            </w:pPr>
            <w:r w:rsidRPr="00E04A13">
              <w:rPr>
                <w:lang w:val="en-GB"/>
              </w:rPr>
              <w:t xml:space="preserve">2.6 </w:t>
            </w:r>
          </w:p>
        </w:tc>
        <w:tc>
          <w:tcPr>
            <w:tcW w:w="706" w:type="dxa"/>
            <w:vAlign w:val="center"/>
          </w:tcPr>
          <w:p w:rsidR="009775D7" w:rsidRPr="00E04A13" w:rsidRDefault="009775D7" w:rsidP="00A54374">
            <w:pPr>
              <w:jc w:val="right"/>
              <w:rPr>
                <w:lang w:val="en-GB"/>
              </w:rPr>
            </w:pPr>
            <w:r w:rsidRPr="00E04A13">
              <w:rPr>
                <w:lang w:val="en-GB"/>
              </w:rPr>
              <w:t xml:space="preserve">2.6 </w:t>
            </w:r>
          </w:p>
        </w:tc>
        <w:tc>
          <w:tcPr>
            <w:tcW w:w="706" w:type="dxa"/>
            <w:vAlign w:val="center"/>
          </w:tcPr>
          <w:p w:rsidR="009775D7" w:rsidRPr="00E04A13" w:rsidRDefault="009775D7" w:rsidP="00A54374">
            <w:pPr>
              <w:jc w:val="right"/>
              <w:rPr>
                <w:lang w:val="en-GB"/>
              </w:rPr>
            </w:pPr>
            <w:r w:rsidRPr="00E04A13">
              <w:rPr>
                <w:lang w:val="en-GB"/>
              </w:rPr>
              <w:t xml:space="preserve">2.5 </w:t>
            </w:r>
          </w:p>
        </w:tc>
        <w:tc>
          <w:tcPr>
            <w:tcW w:w="706" w:type="dxa"/>
            <w:vAlign w:val="center"/>
          </w:tcPr>
          <w:p w:rsidR="009775D7" w:rsidRPr="00E04A13" w:rsidRDefault="009775D7" w:rsidP="00A54374">
            <w:pPr>
              <w:jc w:val="right"/>
              <w:rPr>
                <w:lang w:val="en-GB"/>
              </w:rPr>
            </w:pPr>
            <w:r w:rsidRPr="00E04A13">
              <w:rPr>
                <w:lang w:val="en-GB"/>
              </w:rPr>
              <w:t xml:space="preserve">2.4 </w:t>
            </w:r>
          </w:p>
        </w:tc>
        <w:tc>
          <w:tcPr>
            <w:tcW w:w="706" w:type="dxa"/>
            <w:vAlign w:val="center"/>
          </w:tcPr>
          <w:p w:rsidR="009775D7" w:rsidRPr="00E04A13" w:rsidRDefault="009775D7" w:rsidP="00A54374">
            <w:pPr>
              <w:jc w:val="right"/>
              <w:rPr>
                <w:lang w:val="en-GB"/>
              </w:rPr>
            </w:pPr>
            <w:r w:rsidRPr="00E04A13">
              <w:rPr>
                <w:lang w:val="en-GB"/>
              </w:rPr>
              <w:t xml:space="preserve">2.5 </w:t>
            </w:r>
          </w:p>
        </w:tc>
        <w:tc>
          <w:tcPr>
            <w:tcW w:w="706" w:type="dxa"/>
            <w:vAlign w:val="center"/>
          </w:tcPr>
          <w:p w:rsidR="009775D7" w:rsidRPr="00E04A13" w:rsidRDefault="009775D7" w:rsidP="00A54374">
            <w:pPr>
              <w:jc w:val="right"/>
              <w:rPr>
                <w:lang w:val="en-GB"/>
              </w:rPr>
            </w:pPr>
            <w:r w:rsidRPr="00E04A13">
              <w:rPr>
                <w:lang w:val="en-GB"/>
              </w:rPr>
              <w:t xml:space="preserve">2.8 </w:t>
            </w:r>
          </w:p>
        </w:tc>
        <w:tc>
          <w:tcPr>
            <w:tcW w:w="706" w:type="dxa"/>
            <w:vAlign w:val="center"/>
          </w:tcPr>
          <w:p w:rsidR="009775D7" w:rsidRPr="00E04A13" w:rsidRDefault="009775D7" w:rsidP="00A54374">
            <w:pPr>
              <w:jc w:val="right"/>
              <w:rPr>
                <w:lang w:val="en-GB"/>
              </w:rPr>
            </w:pPr>
            <w:r w:rsidRPr="00E04A13">
              <w:rPr>
                <w:lang w:val="en-GB"/>
              </w:rPr>
              <w:t>-</w:t>
            </w:r>
          </w:p>
        </w:tc>
      </w:tr>
      <w:tr w:rsidR="009775D7" w:rsidRPr="00E04A13">
        <w:tc>
          <w:tcPr>
            <w:tcW w:w="1522" w:type="dxa"/>
            <w:vAlign w:val="center"/>
          </w:tcPr>
          <w:p w:rsidR="009775D7" w:rsidRPr="00E04A13" w:rsidRDefault="009775D7" w:rsidP="00A54374">
            <w:pPr>
              <w:jc w:val="left"/>
              <w:rPr>
                <w:lang w:val="en-GB"/>
              </w:rPr>
            </w:pPr>
            <w:r w:rsidRPr="00E04A13">
              <w:rPr>
                <w:lang w:val="en-GB"/>
              </w:rPr>
              <w:t>Mexico</w:t>
            </w:r>
          </w:p>
        </w:tc>
        <w:tc>
          <w:tcPr>
            <w:tcW w:w="706" w:type="dxa"/>
            <w:vAlign w:val="center"/>
          </w:tcPr>
          <w:p w:rsidR="009775D7" w:rsidRPr="00E04A13" w:rsidRDefault="009775D7" w:rsidP="00A54374">
            <w:pPr>
              <w:jc w:val="right"/>
              <w:rPr>
                <w:lang w:val="en-GB"/>
              </w:rPr>
            </w:pPr>
            <w:r w:rsidRPr="00E04A13">
              <w:rPr>
                <w:lang w:val="en-GB"/>
              </w:rPr>
              <w:t xml:space="preserve">1.1 </w:t>
            </w:r>
          </w:p>
        </w:tc>
        <w:tc>
          <w:tcPr>
            <w:tcW w:w="706" w:type="dxa"/>
            <w:vAlign w:val="center"/>
          </w:tcPr>
          <w:p w:rsidR="009775D7" w:rsidRPr="00E04A13" w:rsidRDefault="009775D7" w:rsidP="00A54374">
            <w:pPr>
              <w:jc w:val="right"/>
              <w:rPr>
                <w:lang w:val="en-GB"/>
              </w:rPr>
            </w:pPr>
            <w:r w:rsidRPr="00E04A13">
              <w:rPr>
                <w:lang w:val="en-GB"/>
              </w:rPr>
              <w:t xml:space="preserve">0.6 </w:t>
            </w:r>
          </w:p>
        </w:tc>
        <w:tc>
          <w:tcPr>
            <w:tcW w:w="706" w:type="dxa"/>
            <w:vAlign w:val="center"/>
          </w:tcPr>
          <w:p w:rsidR="009775D7" w:rsidRPr="00E04A13" w:rsidRDefault="009775D7" w:rsidP="00A54374">
            <w:pPr>
              <w:jc w:val="right"/>
              <w:rPr>
                <w:lang w:val="en-GB"/>
              </w:rPr>
            </w:pPr>
            <w:r w:rsidRPr="00E04A13">
              <w:rPr>
                <w:lang w:val="en-GB"/>
              </w:rPr>
              <w:t xml:space="preserve">1.0 </w:t>
            </w:r>
          </w:p>
        </w:tc>
        <w:tc>
          <w:tcPr>
            <w:tcW w:w="706" w:type="dxa"/>
            <w:vAlign w:val="center"/>
          </w:tcPr>
          <w:p w:rsidR="009775D7" w:rsidRPr="00E04A13" w:rsidRDefault="009775D7" w:rsidP="00A54374">
            <w:pPr>
              <w:jc w:val="right"/>
              <w:rPr>
                <w:lang w:val="en-GB"/>
              </w:rPr>
            </w:pPr>
            <w:r w:rsidRPr="00E04A13">
              <w:rPr>
                <w:lang w:val="en-GB"/>
              </w:rPr>
              <w:t xml:space="preserve">1.8 </w:t>
            </w:r>
          </w:p>
        </w:tc>
        <w:tc>
          <w:tcPr>
            <w:tcW w:w="706" w:type="dxa"/>
            <w:vAlign w:val="center"/>
          </w:tcPr>
          <w:p w:rsidR="009775D7" w:rsidRPr="00E04A13" w:rsidRDefault="009775D7" w:rsidP="00A54374">
            <w:pPr>
              <w:jc w:val="right"/>
              <w:rPr>
                <w:lang w:val="en-GB"/>
              </w:rPr>
            </w:pPr>
            <w:r w:rsidRPr="00E04A13">
              <w:rPr>
                <w:lang w:val="en-GB"/>
              </w:rPr>
              <w:t xml:space="preserve">1.9 </w:t>
            </w:r>
          </w:p>
        </w:tc>
        <w:tc>
          <w:tcPr>
            <w:tcW w:w="706" w:type="dxa"/>
            <w:vAlign w:val="center"/>
          </w:tcPr>
          <w:p w:rsidR="009775D7" w:rsidRPr="00E04A13" w:rsidRDefault="009775D7" w:rsidP="00A54374">
            <w:pPr>
              <w:jc w:val="right"/>
              <w:rPr>
                <w:lang w:val="en-GB"/>
              </w:rPr>
            </w:pPr>
            <w:r w:rsidRPr="00E04A13">
              <w:rPr>
                <w:lang w:val="en-GB"/>
              </w:rPr>
              <w:t xml:space="preserve">2.2 </w:t>
            </w:r>
          </w:p>
        </w:tc>
        <w:tc>
          <w:tcPr>
            <w:tcW w:w="706" w:type="dxa"/>
            <w:vAlign w:val="center"/>
          </w:tcPr>
          <w:p w:rsidR="009775D7" w:rsidRPr="00E04A13" w:rsidRDefault="009775D7" w:rsidP="00A54374">
            <w:pPr>
              <w:jc w:val="right"/>
              <w:rPr>
                <w:lang w:val="en-GB"/>
              </w:rPr>
            </w:pPr>
            <w:r w:rsidRPr="00E04A13">
              <w:rPr>
                <w:lang w:val="en-GB"/>
              </w:rPr>
              <w:t xml:space="preserve">2.1 </w:t>
            </w:r>
          </w:p>
        </w:tc>
        <w:tc>
          <w:tcPr>
            <w:tcW w:w="706" w:type="dxa"/>
            <w:vAlign w:val="center"/>
          </w:tcPr>
          <w:p w:rsidR="009775D7" w:rsidRPr="00E04A13" w:rsidRDefault="009775D7" w:rsidP="00A54374">
            <w:pPr>
              <w:jc w:val="right"/>
              <w:rPr>
                <w:lang w:val="en-GB"/>
              </w:rPr>
            </w:pPr>
            <w:r w:rsidRPr="00E04A13">
              <w:rPr>
                <w:lang w:val="en-GB"/>
              </w:rPr>
              <w:t xml:space="preserve">2.1 </w:t>
            </w:r>
          </w:p>
        </w:tc>
        <w:tc>
          <w:tcPr>
            <w:tcW w:w="706" w:type="dxa"/>
            <w:vAlign w:val="center"/>
          </w:tcPr>
          <w:p w:rsidR="009775D7" w:rsidRPr="00E04A13" w:rsidRDefault="009775D7" w:rsidP="00A54374">
            <w:pPr>
              <w:jc w:val="right"/>
              <w:rPr>
                <w:lang w:val="en-GB"/>
              </w:rPr>
            </w:pPr>
          </w:p>
        </w:tc>
        <w:tc>
          <w:tcPr>
            <w:tcW w:w="706" w:type="dxa"/>
            <w:vAlign w:val="center"/>
          </w:tcPr>
          <w:p w:rsidR="009775D7" w:rsidRPr="00E04A13" w:rsidRDefault="009775D7" w:rsidP="00A54374">
            <w:pPr>
              <w:jc w:val="right"/>
              <w:rPr>
                <w:lang w:val="en-GB"/>
              </w:rPr>
            </w:pPr>
          </w:p>
        </w:tc>
        <w:tc>
          <w:tcPr>
            <w:tcW w:w="706" w:type="dxa"/>
            <w:vAlign w:val="center"/>
          </w:tcPr>
          <w:p w:rsidR="009775D7" w:rsidRPr="00E04A13" w:rsidRDefault="009775D7" w:rsidP="00A54374">
            <w:pPr>
              <w:jc w:val="right"/>
              <w:rPr>
                <w:lang w:val="en-GB"/>
              </w:rPr>
            </w:pPr>
          </w:p>
        </w:tc>
      </w:tr>
      <w:tr w:rsidR="009775D7" w:rsidRPr="00E04A13">
        <w:tc>
          <w:tcPr>
            <w:tcW w:w="1522" w:type="dxa"/>
            <w:vAlign w:val="center"/>
          </w:tcPr>
          <w:p w:rsidR="009775D7" w:rsidRPr="00E04A13" w:rsidRDefault="009775D7" w:rsidP="00A54374">
            <w:pPr>
              <w:jc w:val="left"/>
              <w:rPr>
                <w:lang w:val="en-GB"/>
              </w:rPr>
            </w:pPr>
            <w:r w:rsidRPr="00E04A13">
              <w:rPr>
                <w:lang w:val="en-GB"/>
              </w:rPr>
              <w:t>US</w:t>
            </w:r>
          </w:p>
        </w:tc>
        <w:tc>
          <w:tcPr>
            <w:tcW w:w="706" w:type="dxa"/>
            <w:vAlign w:val="center"/>
          </w:tcPr>
          <w:p w:rsidR="009775D7" w:rsidRPr="00E04A13" w:rsidRDefault="009775D7" w:rsidP="00A54374">
            <w:pPr>
              <w:jc w:val="right"/>
              <w:rPr>
                <w:lang w:val="en-GB"/>
              </w:rPr>
            </w:pPr>
            <w:r w:rsidRPr="00E04A13">
              <w:rPr>
                <w:lang w:val="en-GB"/>
              </w:rPr>
              <w:t xml:space="preserve">1.7 </w:t>
            </w:r>
          </w:p>
        </w:tc>
        <w:tc>
          <w:tcPr>
            <w:tcW w:w="706" w:type="dxa"/>
            <w:vAlign w:val="center"/>
          </w:tcPr>
          <w:p w:rsidR="009775D7" w:rsidRPr="00E04A13" w:rsidRDefault="009775D7" w:rsidP="00A54374">
            <w:pPr>
              <w:jc w:val="right"/>
              <w:rPr>
                <w:lang w:val="en-GB"/>
              </w:rPr>
            </w:pPr>
            <w:r w:rsidRPr="00E04A13">
              <w:rPr>
                <w:lang w:val="en-GB"/>
              </w:rPr>
              <w:t xml:space="preserve">1.7 </w:t>
            </w:r>
          </w:p>
        </w:tc>
        <w:tc>
          <w:tcPr>
            <w:tcW w:w="706" w:type="dxa"/>
            <w:vAlign w:val="center"/>
          </w:tcPr>
          <w:p w:rsidR="009775D7" w:rsidRPr="00E04A13" w:rsidRDefault="009775D7" w:rsidP="00A54374">
            <w:pPr>
              <w:jc w:val="right"/>
              <w:rPr>
                <w:lang w:val="en-GB"/>
              </w:rPr>
            </w:pPr>
            <w:r w:rsidRPr="00E04A13">
              <w:rPr>
                <w:lang w:val="en-GB"/>
              </w:rPr>
              <w:t xml:space="preserve">1.3 </w:t>
            </w:r>
          </w:p>
        </w:tc>
        <w:tc>
          <w:tcPr>
            <w:tcW w:w="706" w:type="dxa"/>
            <w:vAlign w:val="center"/>
          </w:tcPr>
          <w:p w:rsidR="009775D7" w:rsidRPr="00E04A13" w:rsidRDefault="009775D7" w:rsidP="00A54374">
            <w:pPr>
              <w:jc w:val="right"/>
              <w:rPr>
                <w:lang w:val="en-GB"/>
              </w:rPr>
            </w:pPr>
            <w:r w:rsidRPr="00E04A13">
              <w:rPr>
                <w:lang w:val="en-GB"/>
              </w:rPr>
              <w:t xml:space="preserve">1.2 </w:t>
            </w:r>
          </w:p>
        </w:tc>
        <w:tc>
          <w:tcPr>
            <w:tcW w:w="706" w:type="dxa"/>
            <w:vAlign w:val="center"/>
          </w:tcPr>
          <w:p w:rsidR="009775D7" w:rsidRPr="00E04A13" w:rsidRDefault="009775D7" w:rsidP="00A54374">
            <w:pPr>
              <w:jc w:val="right"/>
              <w:rPr>
                <w:lang w:val="en-GB"/>
              </w:rPr>
            </w:pPr>
            <w:r w:rsidRPr="00E04A13">
              <w:rPr>
                <w:lang w:val="en-GB"/>
              </w:rPr>
              <w:t xml:space="preserve">1.1 </w:t>
            </w:r>
          </w:p>
        </w:tc>
        <w:tc>
          <w:tcPr>
            <w:tcW w:w="706" w:type="dxa"/>
            <w:vAlign w:val="center"/>
          </w:tcPr>
          <w:p w:rsidR="009775D7" w:rsidRPr="00E04A13" w:rsidRDefault="009775D7" w:rsidP="00A54374">
            <w:pPr>
              <w:jc w:val="right"/>
              <w:rPr>
                <w:lang w:val="en-GB"/>
              </w:rPr>
            </w:pPr>
            <w:r w:rsidRPr="00E04A13">
              <w:rPr>
                <w:lang w:val="en-GB"/>
              </w:rPr>
              <w:t xml:space="preserve">1.2 </w:t>
            </w:r>
          </w:p>
        </w:tc>
        <w:tc>
          <w:tcPr>
            <w:tcW w:w="706" w:type="dxa"/>
            <w:vAlign w:val="center"/>
          </w:tcPr>
          <w:p w:rsidR="009775D7" w:rsidRPr="00E04A13" w:rsidRDefault="009775D7" w:rsidP="00A54374">
            <w:pPr>
              <w:jc w:val="right"/>
              <w:rPr>
                <w:lang w:val="en-GB"/>
              </w:rPr>
            </w:pPr>
            <w:r w:rsidRPr="00E04A13">
              <w:rPr>
                <w:lang w:val="en-GB"/>
              </w:rPr>
              <w:t xml:space="preserve">1.1 </w:t>
            </w:r>
          </w:p>
        </w:tc>
        <w:tc>
          <w:tcPr>
            <w:tcW w:w="706" w:type="dxa"/>
            <w:vAlign w:val="center"/>
          </w:tcPr>
          <w:p w:rsidR="009775D7" w:rsidRPr="00E04A13" w:rsidRDefault="009775D7" w:rsidP="00A54374">
            <w:pPr>
              <w:jc w:val="right"/>
              <w:rPr>
                <w:lang w:val="en-GB"/>
              </w:rPr>
            </w:pPr>
            <w:r w:rsidRPr="00E04A13">
              <w:rPr>
                <w:lang w:val="en-GB"/>
              </w:rPr>
              <w:t xml:space="preserve">1.1 </w:t>
            </w:r>
          </w:p>
        </w:tc>
        <w:tc>
          <w:tcPr>
            <w:tcW w:w="706" w:type="dxa"/>
            <w:vAlign w:val="center"/>
          </w:tcPr>
          <w:p w:rsidR="009775D7" w:rsidRPr="00E04A13" w:rsidRDefault="009775D7" w:rsidP="00A54374">
            <w:pPr>
              <w:jc w:val="right"/>
              <w:rPr>
                <w:lang w:val="en-GB"/>
              </w:rPr>
            </w:pPr>
            <w:r w:rsidRPr="00E04A13">
              <w:rPr>
                <w:lang w:val="en-GB"/>
              </w:rPr>
              <w:t xml:space="preserve">1.2 </w:t>
            </w:r>
          </w:p>
        </w:tc>
        <w:tc>
          <w:tcPr>
            <w:tcW w:w="706" w:type="dxa"/>
            <w:vAlign w:val="center"/>
          </w:tcPr>
          <w:p w:rsidR="009775D7" w:rsidRPr="00E04A13" w:rsidRDefault="009775D7" w:rsidP="00A54374">
            <w:pPr>
              <w:jc w:val="right"/>
              <w:rPr>
                <w:lang w:val="en-GB"/>
              </w:rPr>
            </w:pPr>
            <w:r w:rsidRPr="00E04A13">
              <w:rPr>
                <w:lang w:val="en-GB"/>
              </w:rPr>
              <w:t xml:space="preserve">1.2 </w:t>
            </w:r>
          </w:p>
        </w:tc>
        <w:tc>
          <w:tcPr>
            <w:tcW w:w="706" w:type="dxa"/>
            <w:vAlign w:val="center"/>
          </w:tcPr>
          <w:p w:rsidR="009775D7" w:rsidRPr="00E04A13" w:rsidRDefault="009775D7" w:rsidP="00A54374">
            <w:pPr>
              <w:jc w:val="right"/>
              <w:rPr>
                <w:lang w:val="en-GB"/>
              </w:rPr>
            </w:pPr>
          </w:p>
        </w:tc>
      </w:tr>
      <w:tr w:rsidR="009775D7" w:rsidRPr="00E04A13">
        <w:tc>
          <w:tcPr>
            <w:tcW w:w="1522" w:type="dxa"/>
          </w:tcPr>
          <w:p w:rsidR="009775D7" w:rsidRPr="00E04A13" w:rsidRDefault="009775D7" w:rsidP="00A54374">
            <w:pPr>
              <w:rPr>
                <w:lang w:val="en-GB"/>
              </w:rPr>
            </w:pPr>
            <w:r w:rsidRPr="00E04A13">
              <w:rPr>
                <w:lang w:val="en-GB"/>
              </w:rPr>
              <w:t>EU-15</w:t>
            </w:r>
          </w:p>
        </w:tc>
        <w:tc>
          <w:tcPr>
            <w:tcW w:w="706" w:type="dxa"/>
          </w:tcPr>
          <w:p w:rsidR="009775D7" w:rsidRPr="00E04A13" w:rsidRDefault="009775D7" w:rsidP="00A54374">
            <w:pPr>
              <w:jc w:val="right"/>
              <w:rPr>
                <w:lang w:val="en-GB"/>
              </w:rPr>
            </w:pPr>
            <w:r w:rsidRPr="00E04A13">
              <w:rPr>
                <w:lang w:val="en-GB"/>
              </w:rPr>
              <w:t xml:space="preserve">2.9 </w:t>
            </w:r>
          </w:p>
        </w:tc>
        <w:tc>
          <w:tcPr>
            <w:tcW w:w="706" w:type="dxa"/>
          </w:tcPr>
          <w:p w:rsidR="009775D7" w:rsidRPr="00E04A13" w:rsidRDefault="009775D7" w:rsidP="00A54374">
            <w:pPr>
              <w:jc w:val="right"/>
              <w:rPr>
                <w:lang w:val="en-GB"/>
              </w:rPr>
            </w:pPr>
            <w:r w:rsidRPr="00E04A13">
              <w:rPr>
                <w:lang w:val="en-GB"/>
              </w:rPr>
              <w:t xml:space="preserve">3.3 </w:t>
            </w:r>
          </w:p>
        </w:tc>
        <w:tc>
          <w:tcPr>
            <w:tcW w:w="706" w:type="dxa"/>
          </w:tcPr>
          <w:p w:rsidR="009775D7" w:rsidRPr="00E04A13" w:rsidRDefault="009775D7" w:rsidP="00A54374">
            <w:pPr>
              <w:jc w:val="right"/>
              <w:rPr>
                <w:lang w:val="en-GB"/>
              </w:rPr>
            </w:pPr>
            <w:r w:rsidRPr="00E04A13">
              <w:rPr>
                <w:lang w:val="en-GB"/>
              </w:rPr>
              <w:t xml:space="preserve">3.2 </w:t>
            </w:r>
          </w:p>
        </w:tc>
        <w:tc>
          <w:tcPr>
            <w:tcW w:w="706" w:type="dxa"/>
          </w:tcPr>
          <w:p w:rsidR="009775D7" w:rsidRPr="00E04A13" w:rsidRDefault="009775D7" w:rsidP="00A54374">
            <w:pPr>
              <w:jc w:val="right"/>
              <w:rPr>
                <w:lang w:val="en-GB"/>
              </w:rPr>
            </w:pPr>
            <w:r w:rsidRPr="00E04A13">
              <w:rPr>
                <w:lang w:val="en-GB"/>
              </w:rPr>
              <w:t xml:space="preserve">3.4 </w:t>
            </w:r>
          </w:p>
        </w:tc>
        <w:tc>
          <w:tcPr>
            <w:tcW w:w="706" w:type="dxa"/>
          </w:tcPr>
          <w:p w:rsidR="009775D7" w:rsidRPr="00E04A13" w:rsidRDefault="009775D7" w:rsidP="00A54374">
            <w:pPr>
              <w:jc w:val="right"/>
              <w:rPr>
                <w:lang w:val="en-GB"/>
              </w:rPr>
            </w:pPr>
            <w:r w:rsidRPr="00E04A13">
              <w:rPr>
                <w:lang w:val="en-GB"/>
              </w:rPr>
              <w:t xml:space="preserve">3.6 </w:t>
            </w:r>
          </w:p>
        </w:tc>
        <w:tc>
          <w:tcPr>
            <w:tcW w:w="706" w:type="dxa"/>
          </w:tcPr>
          <w:p w:rsidR="009775D7" w:rsidRPr="00E04A13" w:rsidRDefault="009775D7" w:rsidP="00A54374">
            <w:pPr>
              <w:jc w:val="right"/>
              <w:rPr>
                <w:lang w:val="en-GB"/>
              </w:rPr>
            </w:pPr>
            <w:r w:rsidRPr="00E04A13">
              <w:rPr>
                <w:lang w:val="en-GB"/>
              </w:rPr>
              <w:t xml:space="preserve">3.6 </w:t>
            </w:r>
          </w:p>
        </w:tc>
        <w:tc>
          <w:tcPr>
            <w:tcW w:w="706" w:type="dxa"/>
          </w:tcPr>
          <w:p w:rsidR="009775D7" w:rsidRPr="00E04A13" w:rsidRDefault="009775D7" w:rsidP="00A54374">
            <w:pPr>
              <w:jc w:val="right"/>
              <w:rPr>
                <w:lang w:val="en-GB"/>
              </w:rPr>
            </w:pPr>
            <w:r w:rsidRPr="00E04A13">
              <w:rPr>
                <w:lang w:val="en-GB"/>
              </w:rPr>
              <w:t xml:space="preserve">3.0 </w:t>
            </w:r>
          </w:p>
        </w:tc>
        <w:tc>
          <w:tcPr>
            <w:tcW w:w="706" w:type="dxa"/>
          </w:tcPr>
          <w:p w:rsidR="009775D7" w:rsidRPr="00E04A13" w:rsidRDefault="009775D7" w:rsidP="00A54374">
            <w:pPr>
              <w:jc w:val="right"/>
              <w:rPr>
                <w:lang w:val="en-GB"/>
              </w:rPr>
            </w:pPr>
            <w:r w:rsidRPr="00E04A13">
              <w:rPr>
                <w:lang w:val="en-GB"/>
              </w:rPr>
              <w:t xml:space="preserve">3.1 </w:t>
            </w:r>
          </w:p>
        </w:tc>
        <w:tc>
          <w:tcPr>
            <w:tcW w:w="706" w:type="dxa"/>
          </w:tcPr>
          <w:p w:rsidR="009775D7" w:rsidRPr="00E04A13" w:rsidRDefault="009775D7" w:rsidP="00A54374">
            <w:pPr>
              <w:jc w:val="right"/>
              <w:rPr>
                <w:lang w:val="en-GB"/>
              </w:rPr>
            </w:pPr>
            <w:r w:rsidRPr="00E04A13">
              <w:rPr>
                <w:lang w:val="en-GB"/>
              </w:rPr>
              <w:t xml:space="preserve">3.1 </w:t>
            </w:r>
          </w:p>
        </w:tc>
        <w:tc>
          <w:tcPr>
            <w:tcW w:w="706" w:type="dxa"/>
          </w:tcPr>
          <w:p w:rsidR="009775D7" w:rsidRPr="00E04A13" w:rsidRDefault="009775D7" w:rsidP="00A54374">
            <w:pPr>
              <w:jc w:val="right"/>
              <w:rPr>
                <w:lang w:val="en-GB"/>
              </w:rPr>
            </w:pPr>
            <w:r w:rsidRPr="00E04A13">
              <w:rPr>
                <w:lang w:val="en-GB"/>
              </w:rPr>
              <w:t xml:space="preserve">3.2 </w:t>
            </w:r>
          </w:p>
        </w:tc>
        <w:tc>
          <w:tcPr>
            <w:tcW w:w="706" w:type="dxa"/>
          </w:tcPr>
          <w:p w:rsidR="009775D7" w:rsidRPr="00E04A13" w:rsidRDefault="009775D7" w:rsidP="00A54374">
            <w:pPr>
              <w:jc w:val="right"/>
              <w:rPr>
                <w:lang w:val="en-GB"/>
              </w:rPr>
            </w:pPr>
          </w:p>
        </w:tc>
      </w:tr>
      <w:tr w:rsidR="009775D7" w:rsidRPr="00E04A13">
        <w:tc>
          <w:tcPr>
            <w:tcW w:w="1522" w:type="dxa"/>
          </w:tcPr>
          <w:p w:rsidR="009775D7" w:rsidRPr="00E04A13" w:rsidRDefault="009775D7" w:rsidP="00A54374">
            <w:pPr>
              <w:rPr>
                <w:lang w:val="en-GB"/>
              </w:rPr>
            </w:pPr>
            <w:r w:rsidRPr="00E04A13">
              <w:rPr>
                <w:lang w:val="en-GB"/>
              </w:rPr>
              <w:t>OECD</w:t>
            </w:r>
          </w:p>
        </w:tc>
        <w:tc>
          <w:tcPr>
            <w:tcW w:w="706" w:type="dxa"/>
            <w:vAlign w:val="center"/>
          </w:tcPr>
          <w:p w:rsidR="009775D7" w:rsidRPr="00E04A13" w:rsidRDefault="009775D7" w:rsidP="00A54374">
            <w:pPr>
              <w:jc w:val="right"/>
              <w:rPr>
                <w:lang w:val="en-GB"/>
              </w:rPr>
            </w:pPr>
            <w:r w:rsidRPr="00E04A13">
              <w:rPr>
                <w:lang w:val="en-GB"/>
              </w:rPr>
              <w:t xml:space="preserve">2.2 </w:t>
            </w:r>
          </w:p>
        </w:tc>
        <w:tc>
          <w:tcPr>
            <w:tcW w:w="706" w:type="dxa"/>
            <w:vAlign w:val="center"/>
          </w:tcPr>
          <w:p w:rsidR="009775D7" w:rsidRPr="00E04A13" w:rsidRDefault="009775D7" w:rsidP="00A54374">
            <w:pPr>
              <w:jc w:val="right"/>
              <w:rPr>
                <w:lang w:val="en-GB"/>
              </w:rPr>
            </w:pPr>
            <w:r w:rsidRPr="00E04A13">
              <w:rPr>
                <w:lang w:val="en-GB"/>
              </w:rPr>
              <w:t xml:space="preserve">2.4 </w:t>
            </w:r>
          </w:p>
        </w:tc>
        <w:tc>
          <w:tcPr>
            <w:tcW w:w="706" w:type="dxa"/>
            <w:vAlign w:val="center"/>
          </w:tcPr>
          <w:p w:rsidR="009775D7" w:rsidRPr="00E04A13" w:rsidRDefault="009775D7" w:rsidP="00A54374">
            <w:pPr>
              <w:jc w:val="right"/>
              <w:rPr>
                <w:lang w:val="en-GB"/>
              </w:rPr>
            </w:pPr>
            <w:r w:rsidRPr="00E04A13">
              <w:rPr>
                <w:lang w:val="en-GB"/>
              </w:rPr>
              <w:t xml:space="preserve">2.3 </w:t>
            </w:r>
          </w:p>
        </w:tc>
        <w:tc>
          <w:tcPr>
            <w:tcW w:w="706" w:type="dxa"/>
            <w:vAlign w:val="center"/>
          </w:tcPr>
          <w:p w:rsidR="009775D7" w:rsidRPr="00E04A13" w:rsidRDefault="009775D7" w:rsidP="00A54374">
            <w:pPr>
              <w:jc w:val="right"/>
              <w:rPr>
                <w:lang w:val="en-GB"/>
              </w:rPr>
            </w:pPr>
            <w:r w:rsidRPr="00E04A13">
              <w:rPr>
                <w:lang w:val="en-GB"/>
              </w:rPr>
              <w:t xml:space="preserve">2.4 </w:t>
            </w:r>
          </w:p>
        </w:tc>
        <w:tc>
          <w:tcPr>
            <w:tcW w:w="706" w:type="dxa"/>
            <w:vAlign w:val="center"/>
          </w:tcPr>
          <w:p w:rsidR="009775D7" w:rsidRPr="00E04A13" w:rsidRDefault="009775D7" w:rsidP="00A54374">
            <w:pPr>
              <w:jc w:val="right"/>
              <w:rPr>
                <w:lang w:val="en-GB"/>
              </w:rPr>
            </w:pPr>
            <w:r w:rsidRPr="00E04A13">
              <w:rPr>
                <w:lang w:val="en-GB"/>
              </w:rPr>
              <w:t xml:space="preserve">2.4 </w:t>
            </w:r>
          </w:p>
        </w:tc>
        <w:tc>
          <w:tcPr>
            <w:tcW w:w="706" w:type="dxa"/>
            <w:vAlign w:val="center"/>
          </w:tcPr>
          <w:p w:rsidR="009775D7" w:rsidRPr="00E04A13" w:rsidRDefault="009775D7" w:rsidP="00A54374">
            <w:pPr>
              <w:jc w:val="right"/>
              <w:rPr>
                <w:lang w:val="en-GB"/>
              </w:rPr>
            </w:pPr>
            <w:r w:rsidRPr="00E04A13">
              <w:rPr>
                <w:lang w:val="en-GB"/>
              </w:rPr>
              <w:t xml:space="preserve">2.4 </w:t>
            </w:r>
          </w:p>
        </w:tc>
        <w:tc>
          <w:tcPr>
            <w:tcW w:w="706" w:type="dxa"/>
            <w:vAlign w:val="center"/>
          </w:tcPr>
          <w:p w:rsidR="009775D7" w:rsidRPr="00E04A13" w:rsidRDefault="009775D7" w:rsidP="00A54374">
            <w:pPr>
              <w:jc w:val="right"/>
              <w:rPr>
                <w:lang w:val="en-GB"/>
              </w:rPr>
            </w:pPr>
            <w:r w:rsidRPr="00E04A13">
              <w:rPr>
                <w:lang w:val="en-GB"/>
              </w:rPr>
              <w:t xml:space="preserve">2.3 </w:t>
            </w:r>
          </w:p>
        </w:tc>
        <w:tc>
          <w:tcPr>
            <w:tcW w:w="706" w:type="dxa"/>
            <w:vAlign w:val="center"/>
          </w:tcPr>
          <w:p w:rsidR="009775D7" w:rsidRPr="00E04A13" w:rsidRDefault="009775D7" w:rsidP="00A54374">
            <w:pPr>
              <w:jc w:val="right"/>
              <w:rPr>
                <w:lang w:val="en-GB"/>
              </w:rPr>
            </w:pPr>
            <w:r w:rsidRPr="00E04A13">
              <w:rPr>
                <w:lang w:val="en-GB"/>
              </w:rPr>
              <w:t xml:space="preserve">2.3 </w:t>
            </w:r>
          </w:p>
        </w:tc>
        <w:tc>
          <w:tcPr>
            <w:tcW w:w="706" w:type="dxa"/>
            <w:vAlign w:val="center"/>
          </w:tcPr>
          <w:p w:rsidR="009775D7" w:rsidRPr="00E04A13" w:rsidRDefault="009775D7" w:rsidP="00A54374">
            <w:pPr>
              <w:jc w:val="right"/>
              <w:rPr>
                <w:lang w:val="en-GB"/>
              </w:rPr>
            </w:pPr>
            <w:r w:rsidRPr="00E04A13">
              <w:rPr>
                <w:lang w:val="en-GB"/>
              </w:rPr>
              <w:t xml:space="preserve">2.4 </w:t>
            </w:r>
          </w:p>
        </w:tc>
        <w:tc>
          <w:tcPr>
            <w:tcW w:w="706" w:type="dxa"/>
            <w:vAlign w:val="center"/>
          </w:tcPr>
          <w:p w:rsidR="009775D7" w:rsidRPr="00E04A13" w:rsidRDefault="009775D7" w:rsidP="00A54374">
            <w:pPr>
              <w:jc w:val="right"/>
              <w:rPr>
                <w:lang w:val="en-GB"/>
              </w:rPr>
            </w:pPr>
            <w:r w:rsidRPr="00E04A13">
              <w:rPr>
                <w:lang w:val="en-GB"/>
              </w:rPr>
              <w:t xml:space="preserve">2.4 </w:t>
            </w:r>
          </w:p>
        </w:tc>
        <w:tc>
          <w:tcPr>
            <w:tcW w:w="706" w:type="dxa"/>
          </w:tcPr>
          <w:p w:rsidR="009775D7" w:rsidRPr="00E04A13" w:rsidRDefault="009775D7" w:rsidP="00A54374">
            <w:pPr>
              <w:jc w:val="right"/>
              <w:rPr>
                <w:lang w:val="en-GB"/>
              </w:rPr>
            </w:pPr>
          </w:p>
        </w:tc>
      </w:tr>
    </w:tbl>
    <w:p w:rsidR="009775D7" w:rsidRPr="00E04A13" w:rsidRDefault="009775D7" w:rsidP="009775D7">
      <w:pPr>
        <w:rPr>
          <w:lang w:val="en-GB"/>
        </w:rPr>
      </w:pPr>
      <w:r w:rsidRPr="00E04A13">
        <w:rPr>
          <w:lang w:val="en-GB"/>
        </w:rPr>
        <w:t>Source:</w:t>
      </w:r>
      <w:r w:rsidR="00C45DFB" w:rsidRPr="00E04A13">
        <w:rPr>
          <w:lang w:val="en-GB"/>
        </w:rPr>
        <w:t xml:space="preserve"> BMU Report on the Environmental Economy 2011.</w:t>
      </w:r>
      <w:r w:rsidR="00B174D1" w:rsidRPr="00E04A13">
        <w:rPr>
          <w:rStyle w:val="FootnoteReference"/>
          <w:lang w:val="en-GB"/>
        </w:rPr>
        <w:footnoteReference w:id="11"/>
      </w:r>
    </w:p>
    <w:p w:rsidR="00A63D28" w:rsidRPr="00E04A13" w:rsidRDefault="009775D7" w:rsidP="009775D7">
      <w:pPr>
        <w:rPr>
          <w:lang w:val="en-GB"/>
        </w:rPr>
      </w:pPr>
      <w:r w:rsidRPr="00E04A13">
        <w:rPr>
          <w:lang w:val="en-GB"/>
        </w:rPr>
        <w:t xml:space="preserve">One observation is that the share of funding is consistently higher in </w:t>
      </w:r>
      <w:r w:rsidR="00AF7738">
        <w:rPr>
          <w:lang w:val="en-GB"/>
        </w:rPr>
        <w:t xml:space="preserve">Europe </w:t>
      </w:r>
      <w:r w:rsidR="00F84419">
        <w:rPr>
          <w:lang w:val="en-GB"/>
        </w:rPr>
        <w:t xml:space="preserve">than in the US. This might be seen as a contradiction to </w:t>
      </w:r>
      <w:r w:rsidRPr="00E04A13">
        <w:rPr>
          <w:lang w:val="en-GB"/>
        </w:rPr>
        <w:t>the fact that the US is en par with the EU in terms of the patents generated</w:t>
      </w:r>
      <w:r w:rsidR="00AF7738">
        <w:rPr>
          <w:lang w:val="en-GB"/>
        </w:rPr>
        <w:t>. However,</w:t>
      </w:r>
      <w:r w:rsidR="00F84419">
        <w:rPr>
          <w:lang w:val="en-GB"/>
        </w:rPr>
        <w:t xml:space="preserve"> the observed differences may also be due to a higher propensity to patent in the US, or to structural differences in the way that R&amp;D funding is </w:t>
      </w:r>
      <w:r w:rsidR="00AF7738">
        <w:rPr>
          <w:lang w:val="en-GB"/>
        </w:rPr>
        <w:t>measured</w:t>
      </w:r>
      <w:r w:rsidRPr="00E04A13">
        <w:rPr>
          <w:lang w:val="en-GB"/>
        </w:rPr>
        <w:t xml:space="preserve">. What is also remarkable is that the shares do not exhibit any particular trend – in some countries, there are considerable variations year-on-year, </w:t>
      </w:r>
      <w:proofErr w:type="gramStart"/>
      <w:r w:rsidRPr="00E04A13">
        <w:rPr>
          <w:lang w:val="en-GB"/>
        </w:rPr>
        <w:t>in</w:t>
      </w:r>
      <w:proofErr w:type="gramEnd"/>
      <w:r w:rsidRPr="00E04A13">
        <w:rPr>
          <w:lang w:val="en-GB"/>
        </w:rPr>
        <w:t xml:space="preserve"> others the trends were fairly static. But in no country was there a clear trend to increase the share of environmental research funding: where this occurred (e.g. Italy in 2007/2008, or Portugal 2004/2005), it was mostly as a short-lived expansion, after which the share returned to previous levels. Germany is notable: despite its credentials as a green technology leader in Europe, the share of environmental R&amp;D funding has actually </w:t>
      </w:r>
      <w:r w:rsidR="00AF7738">
        <w:rPr>
          <w:lang w:val="en-GB"/>
        </w:rPr>
        <w:t>fallen since the 1990s.</w:t>
      </w:r>
    </w:p>
    <w:p w:rsidR="00A63D28" w:rsidRPr="00E04A13" w:rsidRDefault="00A63D28" w:rsidP="006F6028">
      <w:pPr>
        <w:pStyle w:val="Heading1"/>
        <w:spacing w:before="480"/>
        <w:rPr>
          <w:lang w:val="en-GB"/>
        </w:rPr>
      </w:pPr>
      <w:bookmarkStart w:id="27" w:name="_Toc251626639"/>
      <w:r w:rsidRPr="00E04A13">
        <w:rPr>
          <w:lang w:val="en-GB"/>
        </w:rPr>
        <w:t>Country Briefs</w:t>
      </w:r>
      <w:bookmarkEnd w:id="27"/>
    </w:p>
    <w:p w:rsidR="00A63D28" w:rsidRPr="00E04A13" w:rsidRDefault="00F00CF2" w:rsidP="00F00CF2">
      <w:pPr>
        <w:pStyle w:val="Heading2"/>
        <w:spacing w:before="480"/>
        <w:rPr>
          <w:lang w:val="en-GB"/>
        </w:rPr>
      </w:pPr>
      <w:bookmarkStart w:id="28" w:name="_Toc251626640"/>
      <w:r w:rsidRPr="00E04A13">
        <w:rPr>
          <w:lang w:val="en-GB"/>
        </w:rPr>
        <w:t>E</w:t>
      </w:r>
      <w:r w:rsidR="005F4A30">
        <w:rPr>
          <w:lang w:val="en-GB"/>
        </w:rPr>
        <w:t>uropean countries</w:t>
      </w:r>
      <w:bookmarkEnd w:id="28"/>
    </w:p>
    <w:p w:rsidR="00F00CF2" w:rsidRPr="00E04A13" w:rsidRDefault="00F00CF2" w:rsidP="00F00CF2">
      <w:pPr>
        <w:pStyle w:val="Heading3"/>
        <w:spacing w:before="360"/>
        <w:rPr>
          <w:lang w:val="en-GB"/>
        </w:rPr>
      </w:pPr>
      <w:bookmarkStart w:id="29" w:name="_Toc251626641"/>
      <w:r w:rsidRPr="00E04A13">
        <w:rPr>
          <w:lang w:val="en-GB"/>
        </w:rPr>
        <w:t>Germany</w:t>
      </w:r>
      <w:bookmarkEnd w:id="29"/>
    </w:p>
    <w:p w:rsidR="00A54374" w:rsidRPr="00E04A13" w:rsidRDefault="00A54374" w:rsidP="00A54374">
      <w:pPr>
        <w:rPr>
          <w:lang w:val="en-GB"/>
        </w:rPr>
      </w:pPr>
      <w:r w:rsidRPr="00E04A13">
        <w:rPr>
          <w:lang w:val="en-GB"/>
        </w:rPr>
        <w:t xml:space="preserve">The performance of the German </w:t>
      </w:r>
      <w:r w:rsidR="002B2603" w:rsidRPr="00E04A13">
        <w:rPr>
          <w:lang w:val="en-GB"/>
        </w:rPr>
        <w:t>Eco-Industries</w:t>
      </w:r>
      <w:r w:rsidRPr="00E04A13">
        <w:rPr>
          <w:lang w:val="en-GB"/>
        </w:rPr>
        <w:t xml:space="preserve"> stands out in several ways: first, Germany is one of the leaders in Europe in terms of the transformation to a green economy, particular in terms of decarbonising the energy sector and promoting energy from renewable sources</w:t>
      </w:r>
      <w:r w:rsidR="006F1F71" w:rsidRPr="00E04A13">
        <w:rPr>
          <w:lang w:val="en-GB"/>
        </w:rPr>
        <w:t>. I</w:t>
      </w:r>
      <w:r w:rsidRPr="00E04A13">
        <w:rPr>
          <w:lang w:val="en-GB"/>
        </w:rPr>
        <w:t>n 2010, Germany alone accounted for more than half of all new PV solar installation worldwide</w:t>
      </w:r>
      <w:r w:rsidR="00C45DFB" w:rsidRPr="00E04A13">
        <w:rPr>
          <w:lang w:val="en-GB"/>
        </w:rPr>
        <w:t>.</w:t>
      </w:r>
      <w:r w:rsidR="00B174D1" w:rsidRPr="00E04A13">
        <w:rPr>
          <w:rStyle w:val="FootnoteReference"/>
          <w:lang w:val="en-GB"/>
        </w:rPr>
        <w:footnoteReference w:id="12"/>
      </w:r>
      <w:r w:rsidRPr="00E04A13">
        <w:rPr>
          <w:lang w:val="en-GB"/>
        </w:rPr>
        <w:t xml:space="preserve"> Second, the German economy is also one of the most industrialized economies in the EU, with a large export-oriented manufacturing sector. With an energy sector that was traditionally reliant on coal, it is also among the more carbon-intensive economies in Europe, and</w:t>
      </w:r>
      <w:r w:rsidR="006F1F71" w:rsidRPr="00E04A13">
        <w:rPr>
          <w:lang w:val="en-GB"/>
        </w:rPr>
        <w:t>,</w:t>
      </w:r>
      <w:r w:rsidRPr="00E04A13">
        <w:rPr>
          <w:lang w:val="en-GB"/>
        </w:rPr>
        <w:t xml:space="preserve"> despite the reductions achieved</w:t>
      </w:r>
      <w:r w:rsidR="006F1F71" w:rsidRPr="00E04A13">
        <w:rPr>
          <w:lang w:val="en-GB"/>
        </w:rPr>
        <w:t>,</w:t>
      </w:r>
      <w:r w:rsidRPr="00E04A13">
        <w:rPr>
          <w:lang w:val="en-GB"/>
        </w:rPr>
        <w:t xml:space="preserve"> its per-capita CO</w:t>
      </w:r>
      <w:r w:rsidRPr="00E04A13">
        <w:rPr>
          <w:vertAlign w:val="subscript"/>
          <w:lang w:val="en-GB"/>
        </w:rPr>
        <w:t>2</w:t>
      </w:r>
      <w:r w:rsidRPr="00E04A13">
        <w:rPr>
          <w:lang w:val="en-GB"/>
        </w:rPr>
        <w:t xml:space="preserve"> emissions remain above the EU average. Third, the German economy has gone through the financial and economic crisis relatively unscathed: while GDP contracted by 4% in 2009, this drop was compensated by a GDP rise of 5.1% in 2010 and 4.6% in 2011</w:t>
      </w:r>
      <w:r w:rsidR="00B746F6">
        <w:rPr>
          <w:lang w:val="en-GB"/>
        </w:rPr>
        <w:t xml:space="preserve"> (all in real terms)</w:t>
      </w:r>
      <w:r w:rsidRPr="00E04A13">
        <w:rPr>
          <w:lang w:val="en-GB"/>
        </w:rPr>
        <w:t>.</w:t>
      </w:r>
    </w:p>
    <w:p w:rsidR="00A54374" w:rsidRPr="00E04A13" w:rsidRDefault="00A54374" w:rsidP="00A54374">
      <w:pPr>
        <w:rPr>
          <w:lang w:val="en-GB"/>
        </w:rPr>
      </w:pPr>
      <w:r w:rsidRPr="00E04A13">
        <w:rPr>
          <w:lang w:val="en-GB"/>
        </w:rPr>
        <w:t xml:space="preserve">When looking at the performance of the environmental goods and services sector in Germany, the picture is very positive overall, with a few minor </w:t>
      </w:r>
      <w:r w:rsidR="006F1F71" w:rsidRPr="00E04A13">
        <w:rPr>
          <w:lang w:val="en-GB"/>
        </w:rPr>
        <w:t>weaknesses</w:t>
      </w:r>
      <w:r w:rsidRPr="00E04A13">
        <w:rPr>
          <w:lang w:val="en-GB"/>
        </w:rPr>
        <w:t>. Thus, the general trend has been a rapid growth of the market for environmental goods and services. Yet this growth was achieved almost exclusively in the climate-related sectors. The bricks-and-mortar environmental goods and services (such as waste treatment, water management, soil remediation or air protection equipment), which had traditionally dominated the environmental industry, has remained relatively stagnant during the last decade</w:t>
      </w:r>
      <w:r w:rsidR="00F05355" w:rsidRPr="00E04A13">
        <w:rPr>
          <w:lang w:val="en-GB"/>
        </w:rPr>
        <w:t>.</w:t>
      </w:r>
      <w:r w:rsidR="00B174D1" w:rsidRPr="00E04A13">
        <w:rPr>
          <w:rStyle w:val="FootnoteReference"/>
          <w:lang w:val="en-GB"/>
        </w:rPr>
        <w:footnoteReference w:id="13"/>
      </w:r>
      <w:r w:rsidR="00F05355" w:rsidRPr="00E04A13">
        <w:rPr>
          <w:lang w:val="en-GB"/>
        </w:rPr>
        <w:t xml:space="preserve"> </w:t>
      </w:r>
      <w:r w:rsidR="006F1F71" w:rsidRPr="00E04A13">
        <w:rPr>
          <w:lang w:val="en-GB"/>
        </w:rPr>
        <w:t>F</w:t>
      </w:r>
      <w:r w:rsidRPr="00E04A13">
        <w:rPr>
          <w:lang w:val="en-GB"/>
        </w:rPr>
        <w:t>or wastewater treatment</w:t>
      </w:r>
      <w:r w:rsidR="006F1F71" w:rsidRPr="00E04A13">
        <w:rPr>
          <w:lang w:val="en-GB"/>
        </w:rPr>
        <w:t xml:space="preserve"> investment in particular</w:t>
      </w:r>
      <w:r w:rsidRPr="00E04A13">
        <w:rPr>
          <w:lang w:val="en-GB"/>
        </w:rPr>
        <w:t xml:space="preserve">, there was a </w:t>
      </w:r>
      <w:r w:rsidR="006F1F71" w:rsidRPr="00E04A13">
        <w:rPr>
          <w:lang w:val="en-GB"/>
        </w:rPr>
        <w:t xml:space="preserve">declining </w:t>
      </w:r>
      <w:r w:rsidRPr="00E04A13">
        <w:rPr>
          <w:lang w:val="en-GB"/>
        </w:rPr>
        <w:t xml:space="preserve">trend </w:t>
      </w:r>
      <w:r w:rsidR="006F1F71" w:rsidRPr="00E04A13">
        <w:rPr>
          <w:lang w:val="en-GB"/>
        </w:rPr>
        <w:t xml:space="preserve">from </w:t>
      </w:r>
      <w:r w:rsidRPr="00E04A13">
        <w:rPr>
          <w:lang w:val="en-GB"/>
        </w:rPr>
        <w:t xml:space="preserve">2000-2010, as the infrastructure investment backlog in the former GDR had been cleared during the 1990s. Expenditure on pollution abatement and control expenditure is largely stagnant. </w:t>
      </w:r>
    </w:p>
    <w:p w:rsidR="00A54374" w:rsidRPr="00E04A13" w:rsidRDefault="00A54374" w:rsidP="00A54374">
      <w:pPr>
        <w:rPr>
          <w:lang w:val="en-GB"/>
        </w:rPr>
      </w:pPr>
      <w:r w:rsidRPr="00E04A13">
        <w:rPr>
          <w:lang w:val="en-GB"/>
        </w:rPr>
        <w:t xml:space="preserve">Due to the rapid expansion of climate-related activities, and in particular renewable energy deployment, these activities have come to dominate the environmental industry sector in Germany. According to </w:t>
      </w:r>
      <w:r w:rsidR="006F1F71" w:rsidRPr="00E04A13">
        <w:rPr>
          <w:lang w:val="en-GB"/>
        </w:rPr>
        <w:t>Federal Statistical Office’s (</w:t>
      </w:r>
      <w:r w:rsidRPr="00E04A13">
        <w:rPr>
          <w:lang w:val="en-GB"/>
        </w:rPr>
        <w:t>DESTATIS</w:t>
      </w:r>
      <w:r w:rsidR="006F1F71" w:rsidRPr="00E04A13">
        <w:rPr>
          <w:lang w:val="en-GB"/>
        </w:rPr>
        <w:t>)</w:t>
      </w:r>
      <w:r w:rsidRPr="00E04A13">
        <w:rPr>
          <w:lang w:val="en-GB"/>
        </w:rPr>
        <w:t xml:space="preserve"> definition of EGS, the total turnover of environmental goods and services sector came to 44.6 billion Euro in 2009 (2% of GDP), of which climate-related goods and services accounted for more than half (about 27 billion Euro), the remainder being distributed between waste, water, noise and air. Solar PV alone accounts for 8 billion </w:t>
      </w:r>
      <w:proofErr w:type="gramStart"/>
      <w:r w:rsidRPr="00E04A13">
        <w:rPr>
          <w:lang w:val="en-GB"/>
        </w:rPr>
        <w:t>Euro</w:t>
      </w:r>
      <w:proofErr w:type="gramEnd"/>
      <w:r w:rsidRPr="00E04A13">
        <w:rPr>
          <w:lang w:val="en-GB"/>
        </w:rPr>
        <w:t xml:space="preserve"> of the 27 billion of climate-related turnover</w:t>
      </w:r>
      <w:r w:rsidR="00F05355" w:rsidRPr="00E04A13">
        <w:rPr>
          <w:lang w:val="en-GB"/>
        </w:rPr>
        <w:t>.</w:t>
      </w:r>
      <w:r w:rsidR="00B174D1" w:rsidRPr="00E04A13">
        <w:rPr>
          <w:rStyle w:val="FootnoteReference"/>
          <w:lang w:val="en-GB"/>
        </w:rPr>
        <w:footnoteReference w:id="14"/>
      </w:r>
      <w:r w:rsidRPr="00E04A13">
        <w:rPr>
          <w:lang w:val="en-GB"/>
        </w:rPr>
        <w:t xml:space="preserve"> While these figures are based on the definition of environmental goods and services used by DESTATIS, the environment ministry uses a broader definition of environmental technology services sector, according to which the sector accounted for 123 billion Euro of value added in 2008, or about 5% of GDP</w:t>
      </w:r>
      <w:r w:rsidR="00F05355" w:rsidRPr="00E04A13">
        <w:rPr>
          <w:lang w:val="en-GB"/>
        </w:rPr>
        <w:t>.</w:t>
      </w:r>
      <w:r w:rsidR="00B174D1" w:rsidRPr="00E04A13">
        <w:rPr>
          <w:rStyle w:val="FootnoteReference"/>
          <w:lang w:val="en-GB"/>
        </w:rPr>
        <w:footnoteReference w:id="15"/>
      </w:r>
    </w:p>
    <w:p w:rsidR="00A54374" w:rsidRPr="00E04A13" w:rsidRDefault="00A54374" w:rsidP="00A54374">
      <w:pPr>
        <w:rPr>
          <w:lang w:val="en-GB"/>
        </w:rPr>
      </w:pPr>
      <w:r w:rsidRPr="00E04A13">
        <w:rPr>
          <w:lang w:val="en-GB"/>
        </w:rPr>
        <w:t>Germany’s strong position in the environmental goods and services sector, combined with the traditional export orientation of the German economy, results in a strong position on the global market. As one of the largest suppliers of environmental goods and services worldwide, Germany alone has a share of more than 5% in global trade in product</w:t>
      </w:r>
      <w:r w:rsidR="006F1F71" w:rsidRPr="00E04A13">
        <w:rPr>
          <w:lang w:val="en-GB"/>
        </w:rPr>
        <w:t>s</w:t>
      </w:r>
      <w:r w:rsidRPr="00E04A13">
        <w:rPr>
          <w:lang w:val="en-GB"/>
        </w:rPr>
        <w:t xml:space="preserve"> related to renewable energies. German manufacturers are industrial leaders particularly in the wind sector, with two German-based producers among the world’s top ten, and ¾ of the wind power equipment deployed in Germany </w:t>
      </w:r>
      <w:r w:rsidR="006F1F71" w:rsidRPr="00E04A13">
        <w:rPr>
          <w:lang w:val="en-GB"/>
        </w:rPr>
        <w:t xml:space="preserve">is </w:t>
      </w:r>
      <w:r w:rsidRPr="00E04A13">
        <w:rPr>
          <w:lang w:val="en-GB"/>
        </w:rPr>
        <w:t>produced domestically</w:t>
      </w:r>
      <w:r w:rsidR="00F05355" w:rsidRPr="00E04A13">
        <w:rPr>
          <w:lang w:val="en-GB"/>
        </w:rPr>
        <w:t>.</w:t>
      </w:r>
      <w:r w:rsidR="00B174D1" w:rsidRPr="00E04A13">
        <w:rPr>
          <w:rStyle w:val="FootnoteReference"/>
          <w:lang w:val="en-GB"/>
        </w:rPr>
        <w:footnoteReference w:id="16"/>
      </w:r>
      <w:r w:rsidRPr="00E04A13">
        <w:rPr>
          <w:lang w:val="en-GB"/>
        </w:rPr>
        <w:t xml:space="preserve"> At the same time, the technological and economic leadership of German companies in the solar PV industry has eroded considerably since 2010, mostly due to intensive competition from Chinese manufacturers. Thus, between 2011 and 2012 alone, about 20% of the jobs in the German solar PV sector were lost as a number of manufacturers filed for bankruptcy</w:t>
      </w:r>
      <w:r w:rsidR="00F05355" w:rsidRPr="00E04A13">
        <w:rPr>
          <w:lang w:val="en-GB"/>
        </w:rPr>
        <w:t>.</w:t>
      </w:r>
      <w:r w:rsidR="00B174D1" w:rsidRPr="00E04A13">
        <w:rPr>
          <w:rStyle w:val="FootnoteReference"/>
          <w:lang w:val="en-GB"/>
        </w:rPr>
        <w:footnoteReference w:id="17"/>
      </w:r>
    </w:p>
    <w:p w:rsidR="00A54374" w:rsidRPr="00E04A13" w:rsidRDefault="00A54374" w:rsidP="00A54374">
      <w:pPr>
        <w:rPr>
          <w:lang w:val="en-GB"/>
        </w:rPr>
      </w:pPr>
      <w:r w:rsidRPr="00E04A13">
        <w:rPr>
          <w:lang w:val="en-GB"/>
        </w:rPr>
        <w:t xml:space="preserve">In terms of their performance during the financial and economic crisis Investment, the renewable sector in particular has proven very resilient – while it has weathered the crisis well, the sector was much more affected by the increased competition and falling prices in the PV sector since 2011. Thus, private investment in renewables (excluding public R&amp;D funding) more than doubled between 2005 and 2010, but since its peak in 2010 </w:t>
      </w:r>
      <w:r w:rsidR="006F1F71" w:rsidRPr="00E04A13">
        <w:rPr>
          <w:lang w:val="en-GB"/>
        </w:rPr>
        <w:t xml:space="preserve">investment </w:t>
      </w:r>
      <w:r w:rsidRPr="00E04A13">
        <w:rPr>
          <w:lang w:val="en-GB"/>
        </w:rPr>
        <w:t>has fallen by about a quarter. This contraction can mostly be attributed to the rapid decline in prices for PV modules as well as market share losses, and hence falling revenues, for German PV manufacturers. While investments have fallen, both installed capacity and output has continued to increase for PV.</w:t>
      </w:r>
    </w:p>
    <w:p w:rsidR="00BF64CC" w:rsidRPr="00E04A13" w:rsidRDefault="00BF64CC" w:rsidP="00BF64CC">
      <w:pPr>
        <w:pStyle w:val="Caption"/>
        <w:keepNext/>
        <w:rPr>
          <w:lang w:val="en-GB"/>
        </w:rPr>
      </w:pPr>
      <w:bookmarkStart w:id="30" w:name="_Toc252202024"/>
      <w:r w:rsidRPr="00E04A13">
        <w:rPr>
          <w:lang w:val="en-GB"/>
        </w:rPr>
        <w:t xml:space="preserve">Table </w:t>
      </w:r>
      <w:r w:rsidR="00EA4FE5" w:rsidRPr="00E04A13">
        <w:rPr>
          <w:lang w:val="en-GB"/>
        </w:rPr>
        <w:fldChar w:fldCharType="begin"/>
      </w:r>
      <w:r w:rsidR="00053139" w:rsidRPr="00E04A13">
        <w:rPr>
          <w:lang w:val="en-GB"/>
        </w:rPr>
        <w:instrText xml:space="preserve"> SEQ Table \* ARABIC </w:instrText>
      </w:r>
      <w:r w:rsidR="00EA4FE5" w:rsidRPr="00E04A13">
        <w:rPr>
          <w:lang w:val="en-GB"/>
        </w:rPr>
        <w:fldChar w:fldCharType="separate"/>
      </w:r>
      <w:r w:rsidR="00503F5D">
        <w:rPr>
          <w:noProof/>
          <w:lang w:val="en-GB"/>
        </w:rPr>
        <w:t>5</w:t>
      </w:r>
      <w:r w:rsidR="00EA4FE5" w:rsidRPr="00E04A13">
        <w:rPr>
          <w:lang w:val="en-GB"/>
        </w:rPr>
        <w:fldChar w:fldCharType="end"/>
      </w:r>
      <w:r w:rsidRPr="00E04A13">
        <w:rPr>
          <w:lang w:val="en-GB"/>
        </w:rPr>
        <w:t>: All private investment vs. investment in renewables in Germany, 2005 - 2012</w:t>
      </w:r>
      <w:r w:rsidR="0059035E" w:rsidRPr="0059035E">
        <w:rPr>
          <w:rStyle w:val="FootnoteReference"/>
          <w:lang w:val="en-GB"/>
        </w:rPr>
        <w:footnoteReference w:id="18"/>
      </w:r>
      <w:bookmarkEnd w:id="30"/>
    </w:p>
    <w:tbl>
      <w:tblPr>
        <w:tblW w:w="9089" w:type="dxa"/>
        <w:tblInd w:w="91" w:type="dxa"/>
        <w:tblLayout w:type="fixed"/>
        <w:tblLook w:val="0000"/>
      </w:tblPr>
      <w:tblGrid>
        <w:gridCol w:w="2569"/>
        <w:gridCol w:w="815"/>
        <w:gridCol w:w="815"/>
        <w:gridCol w:w="815"/>
        <w:gridCol w:w="815"/>
        <w:gridCol w:w="815"/>
        <w:gridCol w:w="815"/>
        <w:gridCol w:w="815"/>
        <w:gridCol w:w="815"/>
      </w:tblGrid>
      <w:tr w:rsidR="00A54374" w:rsidRPr="00E04A13">
        <w:trPr>
          <w:trHeight w:val="200"/>
        </w:trPr>
        <w:tc>
          <w:tcPr>
            <w:tcW w:w="2569" w:type="dxa"/>
            <w:tcBorders>
              <w:top w:val="nil"/>
              <w:left w:val="nil"/>
              <w:bottom w:val="single" w:sz="12" w:space="0" w:color="auto"/>
              <w:right w:val="nil"/>
            </w:tcBorders>
            <w:shd w:val="clear" w:color="auto" w:fill="auto"/>
            <w:noWrap/>
            <w:tcMar>
              <w:left w:w="85" w:type="dxa"/>
              <w:right w:w="85" w:type="dxa"/>
            </w:tcMar>
            <w:vAlign w:val="center"/>
          </w:tcPr>
          <w:p w:rsidR="00A54374" w:rsidRPr="00E04A13" w:rsidRDefault="00A54374" w:rsidP="00A54374">
            <w:pPr>
              <w:spacing w:before="0" w:after="0" w:line="240" w:lineRule="auto"/>
              <w:jc w:val="right"/>
              <w:rPr>
                <w:sz w:val="20"/>
                <w:szCs w:val="16"/>
                <w:lang w:val="en-GB"/>
              </w:rPr>
            </w:pPr>
          </w:p>
        </w:tc>
        <w:tc>
          <w:tcPr>
            <w:tcW w:w="815" w:type="dxa"/>
            <w:tcBorders>
              <w:top w:val="nil"/>
              <w:left w:val="nil"/>
              <w:bottom w:val="single" w:sz="12" w:space="0" w:color="auto"/>
              <w:right w:val="nil"/>
            </w:tcBorders>
            <w:shd w:val="clear" w:color="auto" w:fill="auto"/>
            <w:noWrap/>
            <w:tcMar>
              <w:left w:w="85" w:type="dxa"/>
              <w:right w:w="85" w:type="dxa"/>
            </w:tcMar>
            <w:vAlign w:val="center"/>
          </w:tcPr>
          <w:p w:rsidR="00A54374" w:rsidRPr="00E04A13" w:rsidRDefault="00A54374" w:rsidP="00A54374">
            <w:pPr>
              <w:spacing w:before="0" w:after="0" w:line="240" w:lineRule="auto"/>
              <w:jc w:val="right"/>
              <w:rPr>
                <w:sz w:val="20"/>
                <w:szCs w:val="16"/>
                <w:lang w:val="en-GB"/>
              </w:rPr>
            </w:pPr>
            <w:r w:rsidRPr="00E04A13">
              <w:rPr>
                <w:sz w:val="20"/>
                <w:szCs w:val="16"/>
                <w:lang w:val="en-GB"/>
              </w:rPr>
              <w:t>2005</w:t>
            </w:r>
          </w:p>
        </w:tc>
        <w:tc>
          <w:tcPr>
            <w:tcW w:w="815" w:type="dxa"/>
            <w:tcBorders>
              <w:top w:val="nil"/>
              <w:left w:val="nil"/>
              <w:bottom w:val="single" w:sz="12" w:space="0" w:color="auto"/>
              <w:right w:val="nil"/>
            </w:tcBorders>
            <w:shd w:val="clear" w:color="auto" w:fill="auto"/>
            <w:noWrap/>
            <w:tcMar>
              <w:left w:w="85" w:type="dxa"/>
              <w:right w:w="85" w:type="dxa"/>
            </w:tcMar>
            <w:vAlign w:val="center"/>
          </w:tcPr>
          <w:p w:rsidR="00A54374" w:rsidRPr="00E04A13" w:rsidRDefault="00A54374" w:rsidP="00A54374">
            <w:pPr>
              <w:spacing w:before="0" w:after="0" w:line="240" w:lineRule="auto"/>
              <w:jc w:val="right"/>
              <w:rPr>
                <w:sz w:val="20"/>
                <w:szCs w:val="16"/>
                <w:lang w:val="en-GB"/>
              </w:rPr>
            </w:pPr>
            <w:r w:rsidRPr="00E04A13">
              <w:rPr>
                <w:sz w:val="20"/>
                <w:szCs w:val="16"/>
                <w:lang w:val="en-GB"/>
              </w:rPr>
              <w:t>2006</w:t>
            </w:r>
          </w:p>
        </w:tc>
        <w:tc>
          <w:tcPr>
            <w:tcW w:w="815" w:type="dxa"/>
            <w:tcBorders>
              <w:top w:val="nil"/>
              <w:left w:val="nil"/>
              <w:bottom w:val="single" w:sz="12" w:space="0" w:color="auto"/>
              <w:right w:val="nil"/>
            </w:tcBorders>
            <w:shd w:val="clear" w:color="auto" w:fill="auto"/>
            <w:noWrap/>
            <w:tcMar>
              <w:left w:w="85" w:type="dxa"/>
              <w:right w:w="85" w:type="dxa"/>
            </w:tcMar>
            <w:vAlign w:val="center"/>
          </w:tcPr>
          <w:p w:rsidR="00A54374" w:rsidRPr="00E04A13" w:rsidRDefault="00A54374" w:rsidP="00A54374">
            <w:pPr>
              <w:spacing w:before="0" w:after="0" w:line="240" w:lineRule="auto"/>
              <w:jc w:val="right"/>
              <w:rPr>
                <w:sz w:val="20"/>
                <w:szCs w:val="16"/>
                <w:lang w:val="en-GB"/>
              </w:rPr>
            </w:pPr>
            <w:r w:rsidRPr="00E04A13">
              <w:rPr>
                <w:sz w:val="20"/>
                <w:szCs w:val="16"/>
                <w:lang w:val="en-GB"/>
              </w:rPr>
              <w:t>2007</w:t>
            </w:r>
          </w:p>
        </w:tc>
        <w:tc>
          <w:tcPr>
            <w:tcW w:w="815" w:type="dxa"/>
            <w:tcBorders>
              <w:top w:val="nil"/>
              <w:left w:val="nil"/>
              <w:bottom w:val="single" w:sz="12" w:space="0" w:color="auto"/>
              <w:right w:val="nil"/>
            </w:tcBorders>
            <w:shd w:val="clear" w:color="auto" w:fill="auto"/>
            <w:noWrap/>
            <w:tcMar>
              <w:left w:w="85" w:type="dxa"/>
              <w:right w:w="85" w:type="dxa"/>
            </w:tcMar>
            <w:vAlign w:val="center"/>
          </w:tcPr>
          <w:p w:rsidR="00A54374" w:rsidRPr="00E04A13" w:rsidRDefault="00A54374" w:rsidP="00A54374">
            <w:pPr>
              <w:spacing w:before="0" w:after="0" w:line="240" w:lineRule="auto"/>
              <w:jc w:val="right"/>
              <w:rPr>
                <w:sz w:val="20"/>
                <w:szCs w:val="16"/>
                <w:lang w:val="en-GB"/>
              </w:rPr>
            </w:pPr>
            <w:r w:rsidRPr="00E04A13">
              <w:rPr>
                <w:sz w:val="20"/>
                <w:szCs w:val="16"/>
                <w:lang w:val="en-GB"/>
              </w:rPr>
              <w:t>2008</w:t>
            </w:r>
          </w:p>
        </w:tc>
        <w:tc>
          <w:tcPr>
            <w:tcW w:w="815" w:type="dxa"/>
            <w:tcBorders>
              <w:top w:val="nil"/>
              <w:left w:val="nil"/>
              <w:bottom w:val="single" w:sz="12" w:space="0" w:color="auto"/>
              <w:right w:val="nil"/>
            </w:tcBorders>
            <w:shd w:val="clear" w:color="auto" w:fill="auto"/>
            <w:noWrap/>
            <w:tcMar>
              <w:left w:w="85" w:type="dxa"/>
              <w:right w:w="85" w:type="dxa"/>
            </w:tcMar>
            <w:vAlign w:val="center"/>
          </w:tcPr>
          <w:p w:rsidR="00A54374" w:rsidRPr="00E04A13" w:rsidRDefault="00A54374" w:rsidP="00A54374">
            <w:pPr>
              <w:spacing w:before="0" w:after="0" w:line="240" w:lineRule="auto"/>
              <w:jc w:val="right"/>
              <w:rPr>
                <w:sz w:val="20"/>
                <w:szCs w:val="16"/>
                <w:lang w:val="en-GB"/>
              </w:rPr>
            </w:pPr>
            <w:r w:rsidRPr="00E04A13">
              <w:rPr>
                <w:sz w:val="20"/>
                <w:szCs w:val="16"/>
                <w:lang w:val="en-GB"/>
              </w:rPr>
              <w:t>2009</w:t>
            </w:r>
          </w:p>
        </w:tc>
        <w:tc>
          <w:tcPr>
            <w:tcW w:w="815" w:type="dxa"/>
            <w:tcBorders>
              <w:top w:val="nil"/>
              <w:left w:val="nil"/>
              <w:bottom w:val="single" w:sz="12" w:space="0" w:color="auto"/>
              <w:right w:val="nil"/>
            </w:tcBorders>
            <w:shd w:val="clear" w:color="auto" w:fill="auto"/>
            <w:noWrap/>
            <w:tcMar>
              <w:left w:w="85" w:type="dxa"/>
              <w:right w:w="85" w:type="dxa"/>
            </w:tcMar>
            <w:vAlign w:val="center"/>
          </w:tcPr>
          <w:p w:rsidR="00A54374" w:rsidRPr="00E04A13" w:rsidRDefault="00A54374" w:rsidP="00A54374">
            <w:pPr>
              <w:spacing w:before="0" w:after="0" w:line="240" w:lineRule="auto"/>
              <w:jc w:val="right"/>
              <w:rPr>
                <w:sz w:val="20"/>
                <w:szCs w:val="16"/>
                <w:lang w:val="en-GB"/>
              </w:rPr>
            </w:pPr>
            <w:r w:rsidRPr="00E04A13">
              <w:rPr>
                <w:sz w:val="20"/>
                <w:szCs w:val="16"/>
                <w:lang w:val="en-GB"/>
              </w:rPr>
              <w:t>2010</w:t>
            </w:r>
          </w:p>
        </w:tc>
        <w:tc>
          <w:tcPr>
            <w:tcW w:w="815" w:type="dxa"/>
            <w:tcBorders>
              <w:top w:val="nil"/>
              <w:left w:val="nil"/>
              <w:bottom w:val="single" w:sz="12" w:space="0" w:color="auto"/>
              <w:right w:val="nil"/>
            </w:tcBorders>
            <w:shd w:val="clear" w:color="auto" w:fill="auto"/>
            <w:noWrap/>
            <w:tcMar>
              <w:left w:w="85" w:type="dxa"/>
              <w:right w:w="85" w:type="dxa"/>
            </w:tcMar>
            <w:vAlign w:val="center"/>
          </w:tcPr>
          <w:p w:rsidR="00A54374" w:rsidRPr="00E04A13" w:rsidRDefault="00A54374" w:rsidP="00A54374">
            <w:pPr>
              <w:spacing w:before="0" w:after="0" w:line="240" w:lineRule="auto"/>
              <w:jc w:val="right"/>
              <w:rPr>
                <w:sz w:val="20"/>
                <w:szCs w:val="16"/>
                <w:lang w:val="en-GB"/>
              </w:rPr>
            </w:pPr>
            <w:r w:rsidRPr="00E04A13">
              <w:rPr>
                <w:sz w:val="20"/>
                <w:szCs w:val="16"/>
                <w:lang w:val="en-GB"/>
              </w:rPr>
              <w:t>2011</w:t>
            </w:r>
          </w:p>
        </w:tc>
        <w:tc>
          <w:tcPr>
            <w:tcW w:w="815" w:type="dxa"/>
            <w:tcBorders>
              <w:top w:val="nil"/>
              <w:left w:val="nil"/>
              <w:bottom w:val="single" w:sz="12" w:space="0" w:color="auto"/>
              <w:right w:val="nil"/>
            </w:tcBorders>
            <w:shd w:val="clear" w:color="auto" w:fill="auto"/>
            <w:noWrap/>
            <w:tcMar>
              <w:left w:w="85" w:type="dxa"/>
              <w:right w:w="85" w:type="dxa"/>
            </w:tcMar>
            <w:vAlign w:val="center"/>
          </w:tcPr>
          <w:p w:rsidR="00A54374" w:rsidRPr="00E04A13" w:rsidRDefault="00A54374" w:rsidP="00A54374">
            <w:pPr>
              <w:spacing w:before="0" w:after="0" w:line="240" w:lineRule="auto"/>
              <w:jc w:val="right"/>
              <w:rPr>
                <w:sz w:val="20"/>
                <w:szCs w:val="16"/>
                <w:lang w:val="en-GB"/>
              </w:rPr>
            </w:pPr>
            <w:r w:rsidRPr="00E04A13">
              <w:rPr>
                <w:sz w:val="20"/>
                <w:szCs w:val="16"/>
                <w:lang w:val="en-GB"/>
              </w:rPr>
              <w:t>2012</w:t>
            </w:r>
          </w:p>
        </w:tc>
      </w:tr>
      <w:tr w:rsidR="00A54374" w:rsidRPr="00E04A13">
        <w:trPr>
          <w:trHeight w:val="200"/>
        </w:trPr>
        <w:tc>
          <w:tcPr>
            <w:tcW w:w="2569" w:type="dxa"/>
            <w:tcBorders>
              <w:top w:val="single" w:sz="12" w:space="0" w:color="auto"/>
              <w:left w:val="nil"/>
              <w:bottom w:val="nil"/>
              <w:right w:val="single" w:sz="4" w:space="0" w:color="auto"/>
            </w:tcBorders>
            <w:shd w:val="clear" w:color="auto" w:fill="auto"/>
            <w:noWrap/>
            <w:tcMar>
              <w:left w:w="85" w:type="dxa"/>
              <w:right w:w="85" w:type="dxa"/>
            </w:tcMar>
            <w:vAlign w:val="center"/>
          </w:tcPr>
          <w:p w:rsidR="00A54374" w:rsidRPr="00E04A13" w:rsidRDefault="00A54374" w:rsidP="00A54374">
            <w:pPr>
              <w:spacing w:before="0" w:after="0" w:line="240" w:lineRule="auto"/>
              <w:jc w:val="left"/>
              <w:rPr>
                <w:sz w:val="20"/>
                <w:szCs w:val="16"/>
                <w:lang w:val="en-GB"/>
              </w:rPr>
            </w:pPr>
            <w:r w:rsidRPr="00E04A13">
              <w:rPr>
                <w:sz w:val="20"/>
                <w:szCs w:val="16"/>
                <w:lang w:val="en-GB"/>
              </w:rPr>
              <w:t>All private investment</w:t>
            </w:r>
          </w:p>
        </w:tc>
        <w:tc>
          <w:tcPr>
            <w:tcW w:w="815" w:type="dxa"/>
            <w:tcBorders>
              <w:top w:val="single" w:sz="12" w:space="0" w:color="auto"/>
              <w:left w:val="single" w:sz="4" w:space="0" w:color="auto"/>
              <w:bottom w:val="nil"/>
              <w:right w:val="single" w:sz="4" w:space="0" w:color="auto"/>
            </w:tcBorders>
            <w:shd w:val="clear" w:color="auto" w:fill="auto"/>
            <w:noWrap/>
            <w:tcMar>
              <w:left w:w="85" w:type="dxa"/>
              <w:right w:w="85" w:type="dxa"/>
            </w:tcMar>
            <w:vAlign w:val="center"/>
          </w:tcPr>
          <w:p w:rsidR="00A54374" w:rsidRPr="00E04A13" w:rsidRDefault="00A54374" w:rsidP="00A54374">
            <w:pPr>
              <w:jc w:val="right"/>
              <w:rPr>
                <w:sz w:val="20"/>
                <w:szCs w:val="16"/>
                <w:lang w:val="en-GB"/>
              </w:rPr>
            </w:pPr>
            <w:r w:rsidRPr="00E04A13">
              <w:rPr>
                <w:sz w:val="20"/>
                <w:szCs w:val="16"/>
                <w:lang w:val="en-GB"/>
              </w:rPr>
              <w:t xml:space="preserve">330,52   </w:t>
            </w:r>
          </w:p>
        </w:tc>
        <w:tc>
          <w:tcPr>
            <w:tcW w:w="815" w:type="dxa"/>
            <w:tcBorders>
              <w:top w:val="single" w:sz="12" w:space="0" w:color="auto"/>
              <w:left w:val="single" w:sz="4" w:space="0" w:color="auto"/>
              <w:bottom w:val="nil"/>
              <w:right w:val="single" w:sz="4" w:space="0" w:color="auto"/>
            </w:tcBorders>
            <w:shd w:val="clear" w:color="auto" w:fill="auto"/>
            <w:noWrap/>
            <w:tcMar>
              <w:left w:w="85" w:type="dxa"/>
              <w:right w:w="85" w:type="dxa"/>
            </w:tcMar>
            <w:vAlign w:val="center"/>
          </w:tcPr>
          <w:p w:rsidR="00A54374" w:rsidRPr="00E04A13" w:rsidRDefault="00A54374" w:rsidP="00A54374">
            <w:pPr>
              <w:jc w:val="right"/>
              <w:rPr>
                <w:sz w:val="20"/>
                <w:szCs w:val="16"/>
                <w:lang w:val="en-GB"/>
              </w:rPr>
            </w:pPr>
            <w:r w:rsidRPr="00E04A13">
              <w:rPr>
                <w:sz w:val="20"/>
                <w:szCs w:val="16"/>
                <w:lang w:val="en-GB"/>
              </w:rPr>
              <w:t>360,2</w:t>
            </w:r>
          </w:p>
        </w:tc>
        <w:tc>
          <w:tcPr>
            <w:tcW w:w="815" w:type="dxa"/>
            <w:tcBorders>
              <w:top w:val="single" w:sz="12" w:space="0" w:color="auto"/>
              <w:left w:val="single" w:sz="4" w:space="0" w:color="auto"/>
              <w:bottom w:val="nil"/>
              <w:right w:val="single" w:sz="4" w:space="0" w:color="auto"/>
            </w:tcBorders>
            <w:shd w:val="clear" w:color="auto" w:fill="auto"/>
            <w:noWrap/>
            <w:tcMar>
              <w:left w:w="85" w:type="dxa"/>
              <w:right w:w="85" w:type="dxa"/>
            </w:tcMar>
            <w:vAlign w:val="center"/>
          </w:tcPr>
          <w:p w:rsidR="00A54374" w:rsidRPr="00E04A13" w:rsidRDefault="00A54374" w:rsidP="00A54374">
            <w:pPr>
              <w:jc w:val="right"/>
              <w:rPr>
                <w:sz w:val="20"/>
                <w:szCs w:val="16"/>
                <w:lang w:val="en-GB"/>
              </w:rPr>
            </w:pPr>
            <w:r w:rsidRPr="00E04A13">
              <w:rPr>
                <w:sz w:val="20"/>
                <w:szCs w:val="16"/>
                <w:lang w:val="en-GB"/>
              </w:rPr>
              <w:t>387,2</w:t>
            </w:r>
          </w:p>
        </w:tc>
        <w:tc>
          <w:tcPr>
            <w:tcW w:w="815" w:type="dxa"/>
            <w:tcBorders>
              <w:top w:val="single" w:sz="12" w:space="0" w:color="auto"/>
              <w:left w:val="single" w:sz="4" w:space="0" w:color="auto"/>
              <w:bottom w:val="nil"/>
              <w:right w:val="single" w:sz="4" w:space="0" w:color="auto"/>
            </w:tcBorders>
            <w:shd w:val="clear" w:color="auto" w:fill="auto"/>
            <w:noWrap/>
            <w:tcMar>
              <w:left w:w="85" w:type="dxa"/>
              <w:right w:w="85" w:type="dxa"/>
            </w:tcMar>
            <w:vAlign w:val="center"/>
          </w:tcPr>
          <w:p w:rsidR="00A54374" w:rsidRPr="00E04A13" w:rsidRDefault="00A54374" w:rsidP="00A54374">
            <w:pPr>
              <w:jc w:val="right"/>
              <w:rPr>
                <w:sz w:val="20"/>
                <w:szCs w:val="16"/>
                <w:lang w:val="en-GB"/>
              </w:rPr>
            </w:pPr>
            <w:r w:rsidRPr="00E04A13">
              <w:rPr>
                <w:sz w:val="20"/>
                <w:szCs w:val="16"/>
                <w:lang w:val="en-GB"/>
              </w:rPr>
              <w:t>394,8</w:t>
            </w:r>
          </w:p>
        </w:tc>
        <w:tc>
          <w:tcPr>
            <w:tcW w:w="815" w:type="dxa"/>
            <w:tcBorders>
              <w:top w:val="single" w:sz="12" w:space="0" w:color="auto"/>
              <w:left w:val="single" w:sz="4" w:space="0" w:color="auto"/>
              <w:bottom w:val="nil"/>
              <w:right w:val="single" w:sz="4" w:space="0" w:color="auto"/>
            </w:tcBorders>
            <w:shd w:val="clear" w:color="auto" w:fill="auto"/>
            <w:noWrap/>
            <w:tcMar>
              <w:left w:w="85" w:type="dxa"/>
              <w:right w:w="85" w:type="dxa"/>
            </w:tcMar>
            <w:vAlign w:val="center"/>
          </w:tcPr>
          <w:p w:rsidR="00A54374" w:rsidRPr="00E04A13" w:rsidRDefault="00A54374" w:rsidP="00A54374">
            <w:pPr>
              <w:jc w:val="right"/>
              <w:rPr>
                <w:sz w:val="20"/>
                <w:szCs w:val="16"/>
                <w:lang w:val="en-GB"/>
              </w:rPr>
            </w:pPr>
            <w:r w:rsidRPr="00E04A13">
              <w:rPr>
                <w:sz w:val="20"/>
                <w:szCs w:val="16"/>
                <w:lang w:val="en-GB"/>
              </w:rPr>
              <w:t>342,1</w:t>
            </w:r>
          </w:p>
        </w:tc>
        <w:tc>
          <w:tcPr>
            <w:tcW w:w="815" w:type="dxa"/>
            <w:tcBorders>
              <w:top w:val="single" w:sz="12" w:space="0" w:color="auto"/>
              <w:left w:val="single" w:sz="4" w:space="0" w:color="auto"/>
              <w:bottom w:val="nil"/>
              <w:right w:val="single" w:sz="4" w:space="0" w:color="auto"/>
            </w:tcBorders>
            <w:shd w:val="clear" w:color="auto" w:fill="auto"/>
            <w:noWrap/>
            <w:tcMar>
              <w:left w:w="85" w:type="dxa"/>
              <w:right w:w="85" w:type="dxa"/>
            </w:tcMar>
            <w:vAlign w:val="center"/>
          </w:tcPr>
          <w:p w:rsidR="00A54374" w:rsidRPr="00E04A13" w:rsidRDefault="00A54374" w:rsidP="00A54374">
            <w:pPr>
              <w:jc w:val="right"/>
              <w:rPr>
                <w:sz w:val="20"/>
                <w:szCs w:val="16"/>
                <w:lang w:val="en-GB"/>
              </w:rPr>
            </w:pPr>
            <w:r w:rsidRPr="00E04A13">
              <w:rPr>
                <w:sz w:val="20"/>
                <w:szCs w:val="16"/>
                <w:lang w:val="en-GB"/>
              </w:rPr>
              <w:t>368,1</w:t>
            </w:r>
          </w:p>
        </w:tc>
        <w:tc>
          <w:tcPr>
            <w:tcW w:w="815" w:type="dxa"/>
            <w:tcBorders>
              <w:top w:val="single" w:sz="12" w:space="0" w:color="auto"/>
              <w:left w:val="single" w:sz="4" w:space="0" w:color="auto"/>
              <w:bottom w:val="nil"/>
              <w:right w:val="single" w:sz="4" w:space="0" w:color="auto"/>
            </w:tcBorders>
            <w:shd w:val="clear" w:color="auto" w:fill="auto"/>
            <w:noWrap/>
            <w:tcMar>
              <w:left w:w="85" w:type="dxa"/>
              <w:right w:w="85" w:type="dxa"/>
            </w:tcMar>
            <w:vAlign w:val="center"/>
          </w:tcPr>
          <w:p w:rsidR="00A54374" w:rsidRPr="00E04A13" w:rsidRDefault="00A54374" w:rsidP="00A54374">
            <w:pPr>
              <w:jc w:val="right"/>
              <w:rPr>
                <w:sz w:val="20"/>
                <w:szCs w:val="16"/>
                <w:lang w:val="en-GB"/>
              </w:rPr>
            </w:pPr>
            <w:r w:rsidRPr="00E04A13">
              <w:rPr>
                <w:sz w:val="20"/>
                <w:szCs w:val="16"/>
                <w:lang w:val="en-GB"/>
              </w:rPr>
              <w:t>403,0</w:t>
            </w:r>
          </w:p>
        </w:tc>
        <w:tc>
          <w:tcPr>
            <w:tcW w:w="815" w:type="dxa"/>
            <w:tcBorders>
              <w:top w:val="single" w:sz="12" w:space="0" w:color="auto"/>
              <w:left w:val="single" w:sz="4" w:space="0" w:color="auto"/>
              <w:bottom w:val="nil"/>
              <w:right w:val="single" w:sz="4" w:space="0" w:color="auto"/>
            </w:tcBorders>
            <w:shd w:val="clear" w:color="auto" w:fill="auto"/>
            <w:noWrap/>
            <w:tcMar>
              <w:left w:w="85" w:type="dxa"/>
              <w:right w:w="85" w:type="dxa"/>
            </w:tcMar>
            <w:vAlign w:val="center"/>
          </w:tcPr>
          <w:p w:rsidR="00A54374" w:rsidRPr="00E04A13" w:rsidRDefault="00A54374" w:rsidP="00A54374">
            <w:pPr>
              <w:jc w:val="right"/>
              <w:rPr>
                <w:sz w:val="20"/>
                <w:szCs w:val="16"/>
                <w:lang w:val="en-GB"/>
              </w:rPr>
            </w:pPr>
            <w:r w:rsidRPr="00E04A13">
              <w:rPr>
                <w:sz w:val="20"/>
                <w:szCs w:val="16"/>
                <w:lang w:val="en-GB"/>
              </w:rPr>
              <w:t>401,8</w:t>
            </w:r>
          </w:p>
        </w:tc>
      </w:tr>
      <w:tr w:rsidR="00A54374" w:rsidRPr="00E04A13">
        <w:trPr>
          <w:trHeight w:val="200"/>
        </w:trPr>
        <w:tc>
          <w:tcPr>
            <w:tcW w:w="2569" w:type="dxa"/>
            <w:tcBorders>
              <w:top w:val="nil"/>
              <w:left w:val="nil"/>
              <w:bottom w:val="single" w:sz="12" w:space="0" w:color="auto"/>
              <w:right w:val="single" w:sz="4" w:space="0" w:color="auto"/>
            </w:tcBorders>
            <w:shd w:val="clear" w:color="auto" w:fill="auto"/>
            <w:noWrap/>
            <w:tcMar>
              <w:left w:w="85" w:type="dxa"/>
              <w:right w:w="85" w:type="dxa"/>
            </w:tcMar>
            <w:vAlign w:val="center"/>
          </w:tcPr>
          <w:p w:rsidR="00A54374" w:rsidRPr="00E04A13" w:rsidRDefault="00A54374" w:rsidP="00A54374">
            <w:pPr>
              <w:spacing w:before="0" w:after="0" w:line="240" w:lineRule="auto"/>
              <w:jc w:val="right"/>
              <w:rPr>
                <w:sz w:val="20"/>
                <w:szCs w:val="16"/>
                <w:lang w:val="en-GB"/>
              </w:rPr>
            </w:pPr>
            <w:r w:rsidRPr="00E04A13">
              <w:rPr>
                <w:sz w:val="20"/>
                <w:szCs w:val="16"/>
                <w:lang w:val="en-GB"/>
              </w:rPr>
              <w:t>Year-on-year change</w:t>
            </w:r>
          </w:p>
        </w:tc>
        <w:tc>
          <w:tcPr>
            <w:tcW w:w="815" w:type="dxa"/>
            <w:tcBorders>
              <w:top w:val="nil"/>
              <w:left w:val="single" w:sz="4" w:space="0" w:color="auto"/>
              <w:bottom w:val="single" w:sz="12" w:space="0" w:color="auto"/>
              <w:right w:val="single" w:sz="4" w:space="0" w:color="auto"/>
            </w:tcBorders>
            <w:shd w:val="clear" w:color="auto" w:fill="auto"/>
            <w:tcMar>
              <w:left w:w="85" w:type="dxa"/>
              <w:right w:w="85" w:type="dxa"/>
            </w:tcMar>
            <w:vAlign w:val="center"/>
          </w:tcPr>
          <w:p w:rsidR="00A54374" w:rsidRPr="00E04A13" w:rsidRDefault="00A54374" w:rsidP="00A54374">
            <w:pPr>
              <w:jc w:val="right"/>
              <w:rPr>
                <w:sz w:val="20"/>
                <w:szCs w:val="16"/>
                <w:lang w:val="en-GB"/>
              </w:rPr>
            </w:pPr>
          </w:p>
        </w:tc>
        <w:tc>
          <w:tcPr>
            <w:tcW w:w="815" w:type="dxa"/>
            <w:tcBorders>
              <w:top w:val="nil"/>
              <w:left w:val="single" w:sz="4" w:space="0" w:color="auto"/>
              <w:bottom w:val="single" w:sz="12" w:space="0" w:color="auto"/>
              <w:right w:val="single" w:sz="4" w:space="0" w:color="auto"/>
            </w:tcBorders>
            <w:shd w:val="clear" w:color="auto" w:fill="auto"/>
            <w:noWrap/>
            <w:tcMar>
              <w:left w:w="85" w:type="dxa"/>
              <w:right w:w="85" w:type="dxa"/>
            </w:tcMar>
            <w:vAlign w:val="center"/>
          </w:tcPr>
          <w:p w:rsidR="00A54374" w:rsidRPr="00E04A13" w:rsidRDefault="00A54374" w:rsidP="00A54374">
            <w:pPr>
              <w:jc w:val="right"/>
              <w:rPr>
                <w:sz w:val="20"/>
                <w:szCs w:val="16"/>
                <w:lang w:val="en-GB"/>
              </w:rPr>
            </w:pPr>
            <w:r w:rsidRPr="00E04A13">
              <w:rPr>
                <w:sz w:val="20"/>
                <w:szCs w:val="16"/>
                <w:lang w:val="en-GB"/>
              </w:rPr>
              <w:t>9,0%</w:t>
            </w:r>
          </w:p>
        </w:tc>
        <w:tc>
          <w:tcPr>
            <w:tcW w:w="815" w:type="dxa"/>
            <w:tcBorders>
              <w:top w:val="nil"/>
              <w:left w:val="single" w:sz="4" w:space="0" w:color="auto"/>
              <w:bottom w:val="single" w:sz="12" w:space="0" w:color="auto"/>
              <w:right w:val="single" w:sz="4" w:space="0" w:color="auto"/>
            </w:tcBorders>
            <w:shd w:val="clear" w:color="auto" w:fill="auto"/>
            <w:noWrap/>
            <w:tcMar>
              <w:left w:w="85" w:type="dxa"/>
              <w:right w:w="85" w:type="dxa"/>
            </w:tcMar>
            <w:vAlign w:val="center"/>
          </w:tcPr>
          <w:p w:rsidR="00A54374" w:rsidRPr="00E04A13" w:rsidRDefault="00A54374" w:rsidP="00A54374">
            <w:pPr>
              <w:jc w:val="right"/>
              <w:rPr>
                <w:sz w:val="20"/>
                <w:szCs w:val="16"/>
                <w:lang w:val="en-GB"/>
              </w:rPr>
            </w:pPr>
            <w:r w:rsidRPr="00E04A13">
              <w:rPr>
                <w:sz w:val="20"/>
                <w:szCs w:val="16"/>
                <w:lang w:val="en-GB"/>
              </w:rPr>
              <w:t>7,5%</w:t>
            </w:r>
          </w:p>
        </w:tc>
        <w:tc>
          <w:tcPr>
            <w:tcW w:w="815" w:type="dxa"/>
            <w:tcBorders>
              <w:top w:val="nil"/>
              <w:left w:val="single" w:sz="4" w:space="0" w:color="auto"/>
              <w:bottom w:val="single" w:sz="12" w:space="0" w:color="auto"/>
              <w:right w:val="single" w:sz="4" w:space="0" w:color="auto"/>
            </w:tcBorders>
            <w:shd w:val="clear" w:color="auto" w:fill="auto"/>
            <w:noWrap/>
            <w:tcMar>
              <w:left w:w="85" w:type="dxa"/>
              <w:right w:w="85" w:type="dxa"/>
            </w:tcMar>
            <w:vAlign w:val="center"/>
          </w:tcPr>
          <w:p w:rsidR="00A54374" w:rsidRPr="00E04A13" w:rsidRDefault="00A54374" w:rsidP="00A54374">
            <w:pPr>
              <w:jc w:val="right"/>
              <w:rPr>
                <w:sz w:val="20"/>
                <w:szCs w:val="16"/>
                <w:lang w:val="en-GB"/>
              </w:rPr>
            </w:pPr>
            <w:r w:rsidRPr="00E04A13">
              <w:rPr>
                <w:sz w:val="20"/>
                <w:szCs w:val="16"/>
                <w:lang w:val="en-GB"/>
              </w:rPr>
              <w:t>2,0%</w:t>
            </w:r>
          </w:p>
        </w:tc>
        <w:tc>
          <w:tcPr>
            <w:tcW w:w="815" w:type="dxa"/>
            <w:tcBorders>
              <w:top w:val="nil"/>
              <w:left w:val="single" w:sz="4" w:space="0" w:color="auto"/>
              <w:bottom w:val="single" w:sz="12" w:space="0" w:color="auto"/>
              <w:right w:val="single" w:sz="4" w:space="0" w:color="auto"/>
            </w:tcBorders>
            <w:shd w:val="clear" w:color="auto" w:fill="auto"/>
            <w:noWrap/>
            <w:tcMar>
              <w:left w:w="85" w:type="dxa"/>
              <w:right w:w="85" w:type="dxa"/>
            </w:tcMar>
            <w:vAlign w:val="center"/>
          </w:tcPr>
          <w:p w:rsidR="00A54374" w:rsidRPr="00E04A13" w:rsidRDefault="00A54374" w:rsidP="00A54374">
            <w:pPr>
              <w:jc w:val="right"/>
              <w:rPr>
                <w:sz w:val="20"/>
                <w:szCs w:val="16"/>
                <w:lang w:val="en-GB"/>
              </w:rPr>
            </w:pPr>
            <w:r w:rsidRPr="00E04A13">
              <w:rPr>
                <w:sz w:val="20"/>
                <w:szCs w:val="16"/>
                <w:lang w:val="en-GB"/>
              </w:rPr>
              <w:t>-13,4%</w:t>
            </w:r>
          </w:p>
        </w:tc>
        <w:tc>
          <w:tcPr>
            <w:tcW w:w="815" w:type="dxa"/>
            <w:tcBorders>
              <w:top w:val="nil"/>
              <w:left w:val="single" w:sz="4" w:space="0" w:color="auto"/>
              <w:bottom w:val="single" w:sz="12" w:space="0" w:color="auto"/>
              <w:right w:val="single" w:sz="4" w:space="0" w:color="auto"/>
            </w:tcBorders>
            <w:shd w:val="clear" w:color="auto" w:fill="auto"/>
            <w:noWrap/>
            <w:tcMar>
              <w:left w:w="85" w:type="dxa"/>
              <w:right w:w="85" w:type="dxa"/>
            </w:tcMar>
            <w:vAlign w:val="center"/>
          </w:tcPr>
          <w:p w:rsidR="00A54374" w:rsidRPr="00E04A13" w:rsidRDefault="00A54374" w:rsidP="00A54374">
            <w:pPr>
              <w:jc w:val="right"/>
              <w:rPr>
                <w:sz w:val="20"/>
                <w:szCs w:val="16"/>
                <w:lang w:val="en-GB"/>
              </w:rPr>
            </w:pPr>
            <w:r w:rsidRPr="00E04A13">
              <w:rPr>
                <w:sz w:val="20"/>
                <w:szCs w:val="16"/>
                <w:lang w:val="en-GB"/>
              </w:rPr>
              <w:t>7,6%</w:t>
            </w:r>
          </w:p>
        </w:tc>
        <w:tc>
          <w:tcPr>
            <w:tcW w:w="815" w:type="dxa"/>
            <w:tcBorders>
              <w:top w:val="nil"/>
              <w:left w:val="single" w:sz="4" w:space="0" w:color="auto"/>
              <w:bottom w:val="single" w:sz="12" w:space="0" w:color="auto"/>
              <w:right w:val="single" w:sz="4" w:space="0" w:color="auto"/>
            </w:tcBorders>
            <w:shd w:val="clear" w:color="auto" w:fill="auto"/>
            <w:noWrap/>
            <w:tcMar>
              <w:left w:w="85" w:type="dxa"/>
              <w:right w:w="85" w:type="dxa"/>
            </w:tcMar>
            <w:vAlign w:val="center"/>
          </w:tcPr>
          <w:p w:rsidR="00A54374" w:rsidRPr="00E04A13" w:rsidRDefault="00A54374" w:rsidP="00A54374">
            <w:pPr>
              <w:jc w:val="right"/>
              <w:rPr>
                <w:sz w:val="20"/>
                <w:szCs w:val="16"/>
                <w:lang w:val="en-GB"/>
              </w:rPr>
            </w:pPr>
            <w:r w:rsidRPr="00E04A13">
              <w:rPr>
                <w:sz w:val="20"/>
                <w:szCs w:val="16"/>
                <w:lang w:val="en-GB"/>
              </w:rPr>
              <w:t>9,5%</w:t>
            </w:r>
          </w:p>
        </w:tc>
        <w:tc>
          <w:tcPr>
            <w:tcW w:w="815" w:type="dxa"/>
            <w:tcBorders>
              <w:top w:val="nil"/>
              <w:left w:val="single" w:sz="4" w:space="0" w:color="auto"/>
              <w:bottom w:val="single" w:sz="12" w:space="0" w:color="auto"/>
              <w:right w:val="single" w:sz="4" w:space="0" w:color="auto"/>
            </w:tcBorders>
            <w:shd w:val="clear" w:color="auto" w:fill="auto"/>
            <w:noWrap/>
            <w:tcMar>
              <w:left w:w="85" w:type="dxa"/>
              <w:right w:w="85" w:type="dxa"/>
            </w:tcMar>
            <w:vAlign w:val="center"/>
          </w:tcPr>
          <w:p w:rsidR="00A54374" w:rsidRPr="00E04A13" w:rsidRDefault="00A54374" w:rsidP="00A54374">
            <w:pPr>
              <w:jc w:val="right"/>
              <w:rPr>
                <w:sz w:val="20"/>
                <w:szCs w:val="16"/>
                <w:lang w:val="en-GB"/>
              </w:rPr>
            </w:pPr>
            <w:r w:rsidRPr="00E04A13">
              <w:rPr>
                <w:sz w:val="20"/>
                <w:szCs w:val="16"/>
                <w:lang w:val="en-GB"/>
              </w:rPr>
              <w:t>-0,3%</w:t>
            </w:r>
          </w:p>
        </w:tc>
      </w:tr>
      <w:tr w:rsidR="00A54374" w:rsidRPr="00E04A13">
        <w:trPr>
          <w:trHeight w:val="200"/>
        </w:trPr>
        <w:tc>
          <w:tcPr>
            <w:tcW w:w="2569" w:type="dxa"/>
            <w:tcBorders>
              <w:top w:val="single" w:sz="12" w:space="0" w:color="auto"/>
              <w:left w:val="nil"/>
              <w:bottom w:val="nil"/>
              <w:right w:val="single" w:sz="4" w:space="0" w:color="auto"/>
            </w:tcBorders>
            <w:shd w:val="clear" w:color="auto" w:fill="auto"/>
            <w:noWrap/>
            <w:tcMar>
              <w:left w:w="85" w:type="dxa"/>
              <w:right w:w="85" w:type="dxa"/>
            </w:tcMar>
            <w:vAlign w:val="center"/>
          </w:tcPr>
          <w:p w:rsidR="00A54374" w:rsidRPr="00E04A13" w:rsidRDefault="00A54374" w:rsidP="00A54374">
            <w:pPr>
              <w:spacing w:before="0" w:after="0" w:line="240" w:lineRule="auto"/>
              <w:jc w:val="left"/>
              <w:rPr>
                <w:sz w:val="20"/>
                <w:szCs w:val="16"/>
                <w:lang w:val="en-GB"/>
              </w:rPr>
            </w:pPr>
            <w:r w:rsidRPr="00E04A13">
              <w:rPr>
                <w:sz w:val="20"/>
                <w:szCs w:val="16"/>
                <w:lang w:val="en-GB"/>
              </w:rPr>
              <w:t>Investment in renewables</w:t>
            </w:r>
          </w:p>
        </w:tc>
        <w:tc>
          <w:tcPr>
            <w:tcW w:w="815" w:type="dxa"/>
            <w:tcBorders>
              <w:top w:val="single" w:sz="12" w:space="0" w:color="auto"/>
              <w:left w:val="single" w:sz="4" w:space="0" w:color="auto"/>
              <w:bottom w:val="nil"/>
              <w:right w:val="single" w:sz="4" w:space="0" w:color="auto"/>
            </w:tcBorders>
            <w:shd w:val="clear" w:color="auto" w:fill="auto"/>
            <w:noWrap/>
            <w:tcMar>
              <w:left w:w="85" w:type="dxa"/>
              <w:right w:w="85" w:type="dxa"/>
            </w:tcMar>
            <w:vAlign w:val="center"/>
          </w:tcPr>
          <w:p w:rsidR="00A54374" w:rsidRPr="00E04A13" w:rsidRDefault="00A54374" w:rsidP="00A54374">
            <w:pPr>
              <w:jc w:val="right"/>
              <w:rPr>
                <w:sz w:val="20"/>
                <w:szCs w:val="16"/>
                <w:lang w:val="en-GB"/>
              </w:rPr>
            </w:pPr>
            <w:r w:rsidRPr="00E04A13">
              <w:rPr>
                <w:sz w:val="20"/>
                <w:szCs w:val="16"/>
                <w:lang w:val="en-GB"/>
              </w:rPr>
              <w:t xml:space="preserve">10,60   </w:t>
            </w:r>
          </w:p>
        </w:tc>
        <w:tc>
          <w:tcPr>
            <w:tcW w:w="815" w:type="dxa"/>
            <w:tcBorders>
              <w:top w:val="single" w:sz="12" w:space="0" w:color="auto"/>
              <w:left w:val="single" w:sz="4" w:space="0" w:color="auto"/>
              <w:bottom w:val="nil"/>
              <w:right w:val="single" w:sz="4" w:space="0" w:color="auto"/>
            </w:tcBorders>
            <w:shd w:val="clear" w:color="auto" w:fill="auto"/>
            <w:noWrap/>
            <w:tcMar>
              <w:left w:w="85" w:type="dxa"/>
              <w:right w:w="85" w:type="dxa"/>
            </w:tcMar>
            <w:vAlign w:val="center"/>
          </w:tcPr>
          <w:p w:rsidR="00A54374" w:rsidRPr="00E04A13" w:rsidRDefault="00A54374" w:rsidP="00A54374">
            <w:pPr>
              <w:jc w:val="right"/>
              <w:rPr>
                <w:sz w:val="20"/>
                <w:szCs w:val="16"/>
                <w:lang w:val="en-GB"/>
              </w:rPr>
            </w:pPr>
            <w:r w:rsidRPr="00E04A13">
              <w:rPr>
                <w:sz w:val="20"/>
                <w:szCs w:val="16"/>
                <w:lang w:val="en-GB"/>
              </w:rPr>
              <w:t>12,7</w:t>
            </w:r>
          </w:p>
        </w:tc>
        <w:tc>
          <w:tcPr>
            <w:tcW w:w="815" w:type="dxa"/>
            <w:tcBorders>
              <w:top w:val="single" w:sz="12" w:space="0" w:color="auto"/>
              <w:left w:val="single" w:sz="4" w:space="0" w:color="auto"/>
              <w:bottom w:val="nil"/>
              <w:right w:val="single" w:sz="4" w:space="0" w:color="auto"/>
            </w:tcBorders>
            <w:shd w:val="clear" w:color="auto" w:fill="auto"/>
            <w:noWrap/>
            <w:tcMar>
              <w:left w:w="85" w:type="dxa"/>
              <w:right w:w="85" w:type="dxa"/>
            </w:tcMar>
            <w:vAlign w:val="center"/>
          </w:tcPr>
          <w:p w:rsidR="00A54374" w:rsidRPr="00E04A13" w:rsidRDefault="00A54374" w:rsidP="00A54374">
            <w:pPr>
              <w:jc w:val="right"/>
              <w:rPr>
                <w:sz w:val="20"/>
                <w:szCs w:val="16"/>
                <w:lang w:val="en-GB"/>
              </w:rPr>
            </w:pPr>
            <w:r w:rsidRPr="00E04A13">
              <w:rPr>
                <w:sz w:val="20"/>
                <w:szCs w:val="16"/>
                <w:lang w:val="en-GB"/>
              </w:rPr>
              <w:t>13,7</w:t>
            </w:r>
          </w:p>
        </w:tc>
        <w:tc>
          <w:tcPr>
            <w:tcW w:w="815" w:type="dxa"/>
            <w:tcBorders>
              <w:top w:val="single" w:sz="12" w:space="0" w:color="auto"/>
              <w:left w:val="single" w:sz="4" w:space="0" w:color="auto"/>
              <w:bottom w:val="nil"/>
              <w:right w:val="single" w:sz="4" w:space="0" w:color="auto"/>
            </w:tcBorders>
            <w:shd w:val="clear" w:color="auto" w:fill="auto"/>
            <w:noWrap/>
            <w:tcMar>
              <w:left w:w="85" w:type="dxa"/>
              <w:right w:w="85" w:type="dxa"/>
            </w:tcMar>
            <w:vAlign w:val="center"/>
          </w:tcPr>
          <w:p w:rsidR="00A54374" w:rsidRPr="00E04A13" w:rsidRDefault="00A54374" w:rsidP="00A54374">
            <w:pPr>
              <w:jc w:val="right"/>
              <w:rPr>
                <w:sz w:val="20"/>
                <w:szCs w:val="16"/>
                <w:lang w:val="en-GB"/>
              </w:rPr>
            </w:pPr>
            <w:r w:rsidRPr="00E04A13">
              <w:rPr>
                <w:sz w:val="20"/>
                <w:szCs w:val="16"/>
                <w:lang w:val="en-GB"/>
              </w:rPr>
              <w:t>16,5</w:t>
            </w:r>
          </w:p>
        </w:tc>
        <w:tc>
          <w:tcPr>
            <w:tcW w:w="815" w:type="dxa"/>
            <w:tcBorders>
              <w:top w:val="single" w:sz="12" w:space="0" w:color="auto"/>
              <w:left w:val="single" w:sz="4" w:space="0" w:color="auto"/>
              <w:bottom w:val="nil"/>
              <w:right w:val="single" w:sz="4" w:space="0" w:color="auto"/>
            </w:tcBorders>
            <w:shd w:val="clear" w:color="auto" w:fill="auto"/>
            <w:noWrap/>
            <w:tcMar>
              <w:left w:w="85" w:type="dxa"/>
              <w:right w:w="85" w:type="dxa"/>
            </w:tcMar>
            <w:vAlign w:val="center"/>
          </w:tcPr>
          <w:p w:rsidR="00A54374" w:rsidRPr="00E04A13" w:rsidRDefault="00A54374" w:rsidP="00A54374">
            <w:pPr>
              <w:jc w:val="right"/>
              <w:rPr>
                <w:sz w:val="20"/>
                <w:szCs w:val="16"/>
                <w:lang w:val="en-GB"/>
              </w:rPr>
            </w:pPr>
            <w:r w:rsidRPr="00E04A13">
              <w:rPr>
                <w:sz w:val="20"/>
                <w:szCs w:val="16"/>
                <w:lang w:val="en-GB"/>
              </w:rPr>
              <w:t>22</w:t>
            </w:r>
          </w:p>
        </w:tc>
        <w:tc>
          <w:tcPr>
            <w:tcW w:w="815" w:type="dxa"/>
            <w:tcBorders>
              <w:top w:val="single" w:sz="12" w:space="0" w:color="auto"/>
              <w:left w:val="single" w:sz="4" w:space="0" w:color="auto"/>
              <w:bottom w:val="nil"/>
              <w:right w:val="single" w:sz="4" w:space="0" w:color="auto"/>
            </w:tcBorders>
            <w:shd w:val="clear" w:color="auto" w:fill="auto"/>
            <w:noWrap/>
            <w:tcMar>
              <w:left w:w="85" w:type="dxa"/>
              <w:right w:w="85" w:type="dxa"/>
            </w:tcMar>
            <w:vAlign w:val="center"/>
          </w:tcPr>
          <w:p w:rsidR="00A54374" w:rsidRPr="00E04A13" w:rsidRDefault="00A54374" w:rsidP="00A54374">
            <w:pPr>
              <w:jc w:val="right"/>
              <w:rPr>
                <w:sz w:val="20"/>
                <w:szCs w:val="16"/>
                <w:lang w:val="en-GB"/>
              </w:rPr>
            </w:pPr>
            <w:r w:rsidRPr="00E04A13">
              <w:rPr>
                <w:sz w:val="20"/>
                <w:szCs w:val="16"/>
                <w:lang w:val="en-GB"/>
              </w:rPr>
              <w:t>26,4</w:t>
            </w:r>
          </w:p>
        </w:tc>
        <w:tc>
          <w:tcPr>
            <w:tcW w:w="815" w:type="dxa"/>
            <w:tcBorders>
              <w:top w:val="single" w:sz="12" w:space="0" w:color="auto"/>
              <w:left w:val="single" w:sz="4" w:space="0" w:color="auto"/>
              <w:bottom w:val="nil"/>
              <w:right w:val="single" w:sz="4" w:space="0" w:color="auto"/>
            </w:tcBorders>
            <w:shd w:val="clear" w:color="auto" w:fill="auto"/>
            <w:noWrap/>
            <w:tcMar>
              <w:left w:w="85" w:type="dxa"/>
              <w:right w:w="85" w:type="dxa"/>
            </w:tcMar>
            <w:vAlign w:val="center"/>
          </w:tcPr>
          <w:p w:rsidR="00A54374" w:rsidRPr="00E04A13" w:rsidRDefault="00A54374" w:rsidP="00A54374">
            <w:pPr>
              <w:jc w:val="right"/>
              <w:rPr>
                <w:sz w:val="20"/>
                <w:szCs w:val="16"/>
                <w:lang w:val="en-GB"/>
              </w:rPr>
            </w:pPr>
            <w:r w:rsidRPr="00E04A13">
              <w:rPr>
                <w:sz w:val="20"/>
                <w:szCs w:val="16"/>
                <w:lang w:val="en-GB"/>
              </w:rPr>
              <w:t>23,2</w:t>
            </w:r>
          </w:p>
        </w:tc>
        <w:tc>
          <w:tcPr>
            <w:tcW w:w="815" w:type="dxa"/>
            <w:tcBorders>
              <w:top w:val="single" w:sz="12" w:space="0" w:color="auto"/>
              <w:left w:val="single" w:sz="4" w:space="0" w:color="auto"/>
              <w:bottom w:val="nil"/>
              <w:right w:val="single" w:sz="4" w:space="0" w:color="auto"/>
            </w:tcBorders>
            <w:shd w:val="clear" w:color="auto" w:fill="auto"/>
            <w:noWrap/>
            <w:tcMar>
              <w:left w:w="85" w:type="dxa"/>
              <w:right w:w="85" w:type="dxa"/>
            </w:tcMar>
            <w:vAlign w:val="center"/>
          </w:tcPr>
          <w:p w:rsidR="00A54374" w:rsidRPr="00E04A13" w:rsidRDefault="00A54374" w:rsidP="00A54374">
            <w:pPr>
              <w:jc w:val="right"/>
              <w:rPr>
                <w:sz w:val="20"/>
                <w:szCs w:val="16"/>
                <w:lang w:val="en-GB"/>
              </w:rPr>
            </w:pPr>
            <w:r w:rsidRPr="00E04A13">
              <w:rPr>
                <w:sz w:val="20"/>
                <w:szCs w:val="16"/>
                <w:lang w:val="en-GB"/>
              </w:rPr>
              <w:t>19,5</w:t>
            </w:r>
          </w:p>
        </w:tc>
      </w:tr>
      <w:tr w:rsidR="00A54374" w:rsidRPr="00E04A13">
        <w:trPr>
          <w:trHeight w:val="200"/>
        </w:trPr>
        <w:tc>
          <w:tcPr>
            <w:tcW w:w="2569" w:type="dxa"/>
            <w:tcBorders>
              <w:top w:val="nil"/>
              <w:left w:val="nil"/>
              <w:bottom w:val="single" w:sz="12" w:space="0" w:color="auto"/>
              <w:right w:val="single" w:sz="4" w:space="0" w:color="auto"/>
            </w:tcBorders>
            <w:shd w:val="clear" w:color="auto" w:fill="auto"/>
            <w:noWrap/>
            <w:tcMar>
              <w:left w:w="85" w:type="dxa"/>
              <w:right w:w="85" w:type="dxa"/>
            </w:tcMar>
            <w:vAlign w:val="center"/>
          </w:tcPr>
          <w:p w:rsidR="00A54374" w:rsidRPr="00E04A13" w:rsidRDefault="00A54374" w:rsidP="00A54374">
            <w:pPr>
              <w:spacing w:before="0" w:after="0" w:line="240" w:lineRule="auto"/>
              <w:jc w:val="right"/>
              <w:rPr>
                <w:sz w:val="20"/>
                <w:szCs w:val="16"/>
                <w:lang w:val="en-GB"/>
              </w:rPr>
            </w:pPr>
            <w:r w:rsidRPr="00E04A13">
              <w:rPr>
                <w:sz w:val="20"/>
                <w:szCs w:val="16"/>
                <w:lang w:val="en-GB"/>
              </w:rPr>
              <w:t>Year-on-year change</w:t>
            </w:r>
          </w:p>
        </w:tc>
        <w:tc>
          <w:tcPr>
            <w:tcW w:w="815" w:type="dxa"/>
            <w:tcBorders>
              <w:top w:val="nil"/>
              <w:left w:val="single" w:sz="4" w:space="0" w:color="auto"/>
              <w:bottom w:val="single" w:sz="12" w:space="0" w:color="auto"/>
              <w:right w:val="single" w:sz="4" w:space="0" w:color="auto"/>
            </w:tcBorders>
            <w:shd w:val="clear" w:color="auto" w:fill="auto"/>
            <w:tcMar>
              <w:left w:w="85" w:type="dxa"/>
              <w:right w:w="85" w:type="dxa"/>
            </w:tcMar>
            <w:vAlign w:val="center"/>
          </w:tcPr>
          <w:p w:rsidR="00A54374" w:rsidRPr="00E04A13" w:rsidRDefault="00A54374" w:rsidP="00A54374">
            <w:pPr>
              <w:jc w:val="right"/>
              <w:rPr>
                <w:sz w:val="20"/>
                <w:szCs w:val="16"/>
                <w:lang w:val="en-GB"/>
              </w:rPr>
            </w:pPr>
          </w:p>
        </w:tc>
        <w:tc>
          <w:tcPr>
            <w:tcW w:w="815" w:type="dxa"/>
            <w:tcBorders>
              <w:top w:val="nil"/>
              <w:left w:val="single" w:sz="4" w:space="0" w:color="auto"/>
              <w:bottom w:val="single" w:sz="12" w:space="0" w:color="auto"/>
              <w:right w:val="single" w:sz="4" w:space="0" w:color="auto"/>
            </w:tcBorders>
            <w:shd w:val="clear" w:color="auto" w:fill="auto"/>
            <w:noWrap/>
            <w:tcMar>
              <w:left w:w="85" w:type="dxa"/>
              <w:right w:w="85" w:type="dxa"/>
            </w:tcMar>
            <w:vAlign w:val="center"/>
          </w:tcPr>
          <w:p w:rsidR="00A54374" w:rsidRPr="00E04A13" w:rsidRDefault="00A54374" w:rsidP="00A54374">
            <w:pPr>
              <w:jc w:val="right"/>
              <w:rPr>
                <w:sz w:val="20"/>
                <w:szCs w:val="16"/>
                <w:lang w:val="en-GB"/>
              </w:rPr>
            </w:pPr>
            <w:r w:rsidRPr="00E04A13">
              <w:rPr>
                <w:sz w:val="20"/>
                <w:szCs w:val="16"/>
                <w:lang w:val="en-GB"/>
              </w:rPr>
              <w:t>19,8%</w:t>
            </w:r>
          </w:p>
        </w:tc>
        <w:tc>
          <w:tcPr>
            <w:tcW w:w="815" w:type="dxa"/>
            <w:tcBorders>
              <w:top w:val="nil"/>
              <w:left w:val="single" w:sz="4" w:space="0" w:color="auto"/>
              <w:bottom w:val="single" w:sz="12" w:space="0" w:color="auto"/>
              <w:right w:val="single" w:sz="4" w:space="0" w:color="auto"/>
            </w:tcBorders>
            <w:shd w:val="clear" w:color="auto" w:fill="auto"/>
            <w:noWrap/>
            <w:tcMar>
              <w:left w:w="85" w:type="dxa"/>
              <w:right w:w="85" w:type="dxa"/>
            </w:tcMar>
            <w:vAlign w:val="center"/>
          </w:tcPr>
          <w:p w:rsidR="00A54374" w:rsidRPr="00E04A13" w:rsidRDefault="00A54374" w:rsidP="00A54374">
            <w:pPr>
              <w:jc w:val="right"/>
              <w:rPr>
                <w:sz w:val="20"/>
                <w:szCs w:val="16"/>
                <w:lang w:val="en-GB"/>
              </w:rPr>
            </w:pPr>
            <w:r w:rsidRPr="00E04A13">
              <w:rPr>
                <w:sz w:val="20"/>
                <w:szCs w:val="16"/>
                <w:lang w:val="en-GB"/>
              </w:rPr>
              <w:t>7,9%</w:t>
            </w:r>
          </w:p>
        </w:tc>
        <w:tc>
          <w:tcPr>
            <w:tcW w:w="815" w:type="dxa"/>
            <w:tcBorders>
              <w:top w:val="nil"/>
              <w:left w:val="single" w:sz="4" w:space="0" w:color="auto"/>
              <w:bottom w:val="single" w:sz="12" w:space="0" w:color="auto"/>
              <w:right w:val="single" w:sz="4" w:space="0" w:color="auto"/>
            </w:tcBorders>
            <w:shd w:val="clear" w:color="auto" w:fill="auto"/>
            <w:noWrap/>
            <w:tcMar>
              <w:left w:w="85" w:type="dxa"/>
              <w:right w:w="85" w:type="dxa"/>
            </w:tcMar>
            <w:vAlign w:val="center"/>
          </w:tcPr>
          <w:p w:rsidR="00A54374" w:rsidRPr="00E04A13" w:rsidRDefault="00A54374" w:rsidP="00A54374">
            <w:pPr>
              <w:jc w:val="right"/>
              <w:rPr>
                <w:sz w:val="20"/>
                <w:szCs w:val="16"/>
                <w:lang w:val="en-GB"/>
              </w:rPr>
            </w:pPr>
            <w:r w:rsidRPr="00E04A13">
              <w:rPr>
                <w:sz w:val="20"/>
                <w:szCs w:val="16"/>
                <w:lang w:val="en-GB"/>
              </w:rPr>
              <w:t>20,4%</w:t>
            </w:r>
          </w:p>
        </w:tc>
        <w:tc>
          <w:tcPr>
            <w:tcW w:w="815" w:type="dxa"/>
            <w:tcBorders>
              <w:top w:val="nil"/>
              <w:left w:val="single" w:sz="4" w:space="0" w:color="auto"/>
              <w:bottom w:val="single" w:sz="12" w:space="0" w:color="auto"/>
              <w:right w:val="single" w:sz="4" w:space="0" w:color="auto"/>
            </w:tcBorders>
            <w:shd w:val="clear" w:color="auto" w:fill="auto"/>
            <w:noWrap/>
            <w:tcMar>
              <w:left w:w="85" w:type="dxa"/>
              <w:right w:w="85" w:type="dxa"/>
            </w:tcMar>
            <w:vAlign w:val="center"/>
          </w:tcPr>
          <w:p w:rsidR="00A54374" w:rsidRPr="00E04A13" w:rsidRDefault="00A54374" w:rsidP="00A54374">
            <w:pPr>
              <w:jc w:val="right"/>
              <w:rPr>
                <w:sz w:val="20"/>
                <w:szCs w:val="16"/>
                <w:lang w:val="en-GB"/>
              </w:rPr>
            </w:pPr>
            <w:r w:rsidRPr="00E04A13">
              <w:rPr>
                <w:sz w:val="20"/>
                <w:szCs w:val="16"/>
                <w:lang w:val="en-GB"/>
              </w:rPr>
              <w:t>33,3%</w:t>
            </w:r>
          </w:p>
        </w:tc>
        <w:tc>
          <w:tcPr>
            <w:tcW w:w="815" w:type="dxa"/>
            <w:tcBorders>
              <w:top w:val="nil"/>
              <w:left w:val="single" w:sz="4" w:space="0" w:color="auto"/>
              <w:bottom w:val="single" w:sz="12" w:space="0" w:color="auto"/>
              <w:right w:val="single" w:sz="4" w:space="0" w:color="auto"/>
            </w:tcBorders>
            <w:shd w:val="clear" w:color="auto" w:fill="auto"/>
            <w:noWrap/>
            <w:tcMar>
              <w:left w:w="85" w:type="dxa"/>
              <w:right w:w="85" w:type="dxa"/>
            </w:tcMar>
            <w:vAlign w:val="center"/>
          </w:tcPr>
          <w:p w:rsidR="00A54374" w:rsidRPr="00E04A13" w:rsidRDefault="00A54374" w:rsidP="00A54374">
            <w:pPr>
              <w:jc w:val="right"/>
              <w:rPr>
                <w:sz w:val="20"/>
                <w:szCs w:val="16"/>
                <w:lang w:val="en-GB"/>
              </w:rPr>
            </w:pPr>
            <w:r w:rsidRPr="00E04A13">
              <w:rPr>
                <w:sz w:val="20"/>
                <w:szCs w:val="16"/>
                <w:lang w:val="en-GB"/>
              </w:rPr>
              <w:t>20,0%</w:t>
            </w:r>
          </w:p>
        </w:tc>
        <w:tc>
          <w:tcPr>
            <w:tcW w:w="815" w:type="dxa"/>
            <w:tcBorders>
              <w:top w:val="nil"/>
              <w:left w:val="single" w:sz="4" w:space="0" w:color="auto"/>
              <w:bottom w:val="single" w:sz="12" w:space="0" w:color="auto"/>
              <w:right w:val="single" w:sz="4" w:space="0" w:color="auto"/>
            </w:tcBorders>
            <w:shd w:val="clear" w:color="auto" w:fill="auto"/>
            <w:noWrap/>
            <w:tcMar>
              <w:left w:w="85" w:type="dxa"/>
              <w:right w:w="85" w:type="dxa"/>
            </w:tcMar>
            <w:vAlign w:val="center"/>
          </w:tcPr>
          <w:p w:rsidR="00A54374" w:rsidRPr="00E04A13" w:rsidRDefault="00A54374" w:rsidP="00A54374">
            <w:pPr>
              <w:jc w:val="right"/>
              <w:rPr>
                <w:sz w:val="20"/>
                <w:szCs w:val="16"/>
                <w:lang w:val="en-GB"/>
              </w:rPr>
            </w:pPr>
            <w:r w:rsidRPr="00E04A13">
              <w:rPr>
                <w:sz w:val="20"/>
                <w:szCs w:val="16"/>
                <w:lang w:val="en-GB"/>
              </w:rPr>
              <w:t>-12,1%</w:t>
            </w:r>
          </w:p>
        </w:tc>
        <w:tc>
          <w:tcPr>
            <w:tcW w:w="815" w:type="dxa"/>
            <w:tcBorders>
              <w:top w:val="nil"/>
              <w:left w:val="single" w:sz="4" w:space="0" w:color="auto"/>
              <w:bottom w:val="single" w:sz="12" w:space="0" w:color="auto"/>
              <w:right w:val="single" w:sz="4" w:space="0" w:color="auto"/>
            </w:tcBorders>
            <w:shd w:val="clear" w:color="auto" w:fill="auto"/>
            <w:noWrap/>
            <w:tcMar>
              <w:left w:w="85" w:type="dxa"/>
              <w:right w:w="85" w:type="dxa"/>
            </w:tcMar>
            <w:vAlign w:val="center"/>
          </w:tcPr>
          <w:p w:rsidR="00A54374" w:rsidRPr="00E04A13" w:rsidRDefault="00A54374" w:rsidP="00A54374">
            <w:pPr>
              <w:jc w:val="right"/>
              <w:rPr>
                <w:sz w:val="20"/>
                <w:szCs w:val="16"/>
                <w:lang w:val="en-GB"/>
              </w:rPr>
            </w:pPr>
            <w:r w:rsidRPr="00E04A13">
              <w:rPr>
                <w:sz w:val="20"/>
                <w:szCs w:val="16"/>
                <w:lang w:val="en-GB"/>
              </w:rPr>
              <w:t>-15,9%</w:t>
            </w:r>
          </w:p>
        </w:tc>
      </w:tr>
    </w:tbl>
    <w:p w:rsidR="00A54374" w:rsidRPr="00E04A13" w:rsidRDefault="00A54374" w:rsidP="00A54374">
      <w:pPr>
        <w:rPr>
          <w:lang w:val="en-GB"/>
        </w:rPr>
      </w:pPr>
      <w:r w:rsidRPr="00E04A13">
        <w:rPr>
          <w:lang w:val="en-GB"/>
        </w:rPr>
        <w:t xml:space="preserve">The contrast with the general pattern of economic development, and the special position of the renewable sector, is particularly apparent for the crisis year 2009: in this year, overall private investment (mobile equipment and construction) fell by 52 </w:t>
      </w:r>
      <w:r w:rsidR="00116136" w:rsidRPr="00E04A13">
        <w:rPr>
          <w:lang w:val="en-GB"/>
        </w:rPr>
        <w:t>billion</w:t>
      </w:r>
      <w:r w:rsidRPr="00E04A13">
        <w:rPr>
          <w:lang w:val="en-GB"/>
        </w:rPr>
        <w:t xml:space="preserve"> </w:t>
      </w:r>
      <w:proofErr w:type="gramStart"/>
      <w:r w:rsidRPr="00E04A13">
        <w:rPr>
          <w:lang w:val="en-GB"/>
        </w:rPr>
        <w:t>Euro</w:t>
      </w:r>
      <w:proofErr w:type="gramEnd"/>
      <w:r w:rsidRPr="00E04A13">
        <w:rPr>
          <w:lang w:val="en-GB"/>
        </w:rPr>
        <w:t>, or 13.4%. In contrast, investment into renewable energy installations grew by a third during the same year. This investment pattern is also mirrored in the employment that renewable energies have generated: total (gross) employment in the sector has increased continuously – and has more than doubled since 2004 – to reach 381,600 in 2011. Since then, the observed 20% decline in solar PV has mostly been offset by increases in wind and biomass, so that total employm</w:t>
      </w:r>
      <w:r w:rsidR="00B174D1" w:rsidRPr="00E04A13">
        <w:rPr>
          <w:lang w:val="en-GB"/>
        </w:rPr>
        <w:t>ent in the sector has stagnated.</w:t>
      </w:r>
      <w:r w:rsidR="00B174D1" w:rsidRPr="00E04A13">
        <w:rPr>
          <w:rStyle w:val="FootnoteReference"/>
          <w:lang w:val="en-GB"/>
        </w:rPr>
        <w:footnoteReference w:id="19"/>
      </w:r>
    </w:p>
    <w:p w:rsidR="00A54374" w:rsidRPr="00E04A13" w:rsidRDefault="00A54374" w:rsidP="00A54374">
      <w:pPr>
        <w:rPr>
          <w:lang w:val="en-GB"/>
        </w:rPr>
      </w:pPr>
      <w:r w:rsidRPr="00E04A13">
        <w:rPr>
          <w:lang w:val="en-GB"/>
        </w:rPr>
        <w:t>The resilience of the renewable sector to the impact of the economic crisis, as evident from the investment volume, is also reflected in the output figures: When considering the gross electricity generation from different sources in Germany, the following picture emerges:</w:t>
      </w:r>
    </w:p>
    <w:p w:rsidR="00A54374" w:rsidRPr="00E04A13" w:rsidRDefault="00A54374" w:rsidP="00A54374">
      <w:pPr>
        <w:rPr>
          <w:lang w:val="en-GB"/>
        </w:rPr>
      </w:pPr>
    </w:p>
    <w:tbl>
      <w:tblPr>
        <w:tblStyle w:val="TableGrid"/>
        <w:tblW w:w="9504" w:type="dxa"/>
        <w:tblInd w:w="2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tblPr>
      <w:tblGrid>
        <w:gridCol w:w="4854"/>
        <w:gridCol w:w="4650"/>
      </w:tblGrid>
      <w:tr w:rsidR="00A54374" w:rsidRPr="00E04A13">
        <w:tc>
          <w:tcPr>
            <w:tcW w:w="4854" w:type="dxa"/>
            <w:shd w:val="clear" w:color="auto" w:fill="auto"/>
            <w:tcMar>
              <w:left w:w="0" w:type="dxa"/>
              <w:right w:w="0" w:type="dxa"/>
            </w:tcMar>
          </w:tcPr>
          <w:p w:rsidR="00A54374" w:rsidRPr="00E04A13" w:rsidRDefault="00A54374" w:rsidP="00A54374">
            <w:pPr>
              <w:rPr>
                <w:lang w:val="en-GB"/>
              </w:rPr>
            </w:pPr>
            <w:r w:rsidRPr="00E04A13">
              <w:rPr>
                <w:noProof/>
              </w:rPr>
              <w:drawing>
                <wp:inline distT="0" distB="0" distL="0" distR="0">
                  <wp:extent cx="2916132" cy="1748881"/>
                  <wp:effectExtent l="25400" t="0" r="4868" b="0"/>
                  <wp:docPr id="1"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5" cstate="print"/>
                          <a:srcRect l="2946" r="2287"/>
                          <a:stretch>
                            <a:fillRect/>
                          </a:stretch>
                        </pic:blipFill>
                        <pic:spPr bwMode="auto">
                          <a:xfrm>
                            <a:off x="0" y="0"/>
                            <a:ext cx="2927595" cy="1755756"/>
                          </a:xfrm>
                          <a:prstGeom prst="rect">
                            <a:avLst/>
                          </a:prstGeom>
                          <a:noFill/>
                          <a:ln w="9525">
                            <a:noFill/>
                            <a:miter lim="800000"/>
                            <a:headEnd/>
                            <a:tailEnd/>
                          </a:ln>
                        </pic:spPr>
                      </pic:pic>
                    </a:graphicData>
                  </a:graphic>
                </wp:inline>
              </w:drawing>
            </w:r>
          </w:p>
        </w:tc>
        <w:tc>
          <w:tcPr>
            <w:tcW w:w="4650" w:type="dxa"/>
            <w:shd w:val="clear" w:color="auto" w:fill="auto"/>
          </w:tcPr>
          <w:p w:rsidR="00A54374" w:rsidRPr="00E04A13" w:rsidRDefault="00A54374" w:rsidP="00A54374">
            <w:pPr>
              <w:jc w:val="left"/>
              <w:rPr>
                <w:lang w:val="en-GB"/>
              </w:rPr>
            </w:pPr>
            <w:r w:rsidRPr="00E04A13">
              <w:rPr>
                <w:noProof/>
              </w:rPr>
              <w:drawing>
                <wp:inline distT="0" distB="0" distL="0" distR="0">
                  <wp:extent cx="2714081" cy="1834437"/>
                  <wp:effectExtent l="25400" t="0" r="3719" b="0"/>
                  <wp:docPr id="5"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6" cstate="print"/>
                          <a:srcRect l="2636" r="3292"/>
                          <a:stretch>
                            <a:fillRect/>
                          </a:stretch>
                        </pic:blipFill>
                        <pic:spPr bwMode="auto">
                          <a:xfrm>
                            <a:off x="0" y="0"/>
                            <a:ext cx="2720252" cy="1838608"/>
                          </a:xfrm>
                          <a:prstGeom prst="rect">
                            <a:avLst/>
                          </a:prstGeom>
                          <a:noFill/>
                          <a:ln w="9525">
                            <a:noFill/>
                            <a:miter lim="800000"/>
                            <a:headEnd/>
                            <a:tailEnd/>
                          </a:ln>
                        </pic:spPr>
                      </pic:pic>
                    </a:graphicData>
                  </a:graphic>
                </wp:inline>
              </w:drawing>
            </w:r>
          </w:p>
        </w:tc>
      </w:tr>
    </w:tbl>
    <w:p w:rsidR="00A54374" w:rsidRPr="00E04A13" w:rsidRDefault="00A54374" w:rsidP="00A54374">
      <w:pPr>
        <w:pStyle w:val="Caption"/>
        <w:rPr>
          <w:lang w:val="en-GB"/>
        </w:rPr>
      </w:pPr>
      <w:bookmarkStart w:id="31" w:name="_Toc249437490"/>
      <w:r w:rsidRPr="00E04A13">
        <w:rPr>
          <w:lang w:val="en-GB"/>
        </w:rPr>
        <w:t xml:space="preserve">Figure </w:t>
      </w:r>
      <w:r w:rsidR="00EA4FE5" w:rsidRPr="00E04A13">
        <w:rPr>
          <w:lang w:val="en-GB"/>
        </w:rPr>
        <w:fldChar w:fldCharType="begin"/>
      </w:r>
      <w:r w:rsidR="00647FEE" w:rsidRPr="00E04A13">
        <w:rPr>
          <w:lang w:val="en-GB"/>
        </w:rPr>
        <w:instrText xml:space="preserve"> SEQ Figure \* ARABIC </w:instrText>
      </w:r>
      <w:r w:rsidR="00EA4FE5" w:rsidRPr="00E04A13">
        <w:rPr>
          <w:lang w:val="en-GB"/>
        </w:rPr>
        <w:fldChar w:fldCharType="separate"/>
      </w:r>
      <w:r w:rsidR="00503F5D">
        <w:rPr>
          <w:noProof/>
          <w:lang w:val="en-GB"/>
        </w:rPr>
        <w:t>8</w:t>
      </w:r>
      <w:r w:rsidR="00EA4FE5" w:rsidRPr="00E04A13">
        <w:rPr>
          <w:lang w:val="en-GB"/>
        </w:rPr>
        <w:fldChar w:fldCharType="end"/>
      </w:r>
      <w:r w:rsidRPr="00E04A13">
        <w:rPr>
          <w:lang w:val="en-GB"/>
        </w:rPr>
        <w:t>: Power production in Germany</w:t>
      </w:r>
      <w:bookmarkEnd w:id="31"/>
      <w:r w:rsidRPr="00E04A13">
        <w:rPr>
          <w:lang w:val="en-GB"/>
        </w:rPr>
        <w:t xml:space="preserve"> </w:t>
      </w:r>
    </w:p>
    <w:p w:rsidR="00A54374" w:rsidRPr="00E04A13" w:rsidRDefault="00A54374" w:rsidP="00A54374">
      <w:pPr>
        <w:rPr>
          <w:lang w:val="en-GB"/>
        </w:rPr>
      </w:pPr>
    </w:p>
    <w:p w:rsidR="00F00CF2" w:rsidRPr="00E04A13" w:rsidRDefault="00A54374" w:rsidP="00F00CF2">
      <w:pPr>
        <w:rPr>
          <w:lang w:val="en-GB"/>
        </w:rPr>
      </w:pPr>
      <w:r w:rsidRPr="00E04A13">
        <w:rPr>
          <w:lang w:val="en-GB"/>
        </w:rPr>
        <w:t>Focusing on the years of the financial and economic crisis, the change in output is apparent in the case of natural gas and hard coal, for which output contracted markedly in 2009. Lignite-based power production has remained virtually unchanged for the last 10 years. Nuclear output has fallen most, yet this is due to the nuclear-phase out policy rather than economic circumstances. Power production from renewables has increased continuously, and tripled since 2000. The financial and economic crisis in 2009 has affected the sector rather merely be slowing down the rate of expansion for one year, while absolute output continued to increase.</w:t>
      </w:r>
    </w:p>
    <w:p w:rsidR="00F00CF2" w:rsidRPr="00E04A13" w:rsidRDefault="00F00CF2" w:rsidP="00F00CF2">
      <w:pPr>
        <w:pStyle w:val="Heading3"/>
        <w:spacing w:before="360"/>
        <w:rPr>
          <w:lang w:val="en-GB"/>
        </w:rPr>
      </w:pPr>
      <w:bookmarkStart w:id="32" w:name="_Toc251626642"/>
      <w:r w:rsidRPr="00E04A13">
        <w:rPr>
          <w:lang w:val="en-GB"/>
        </w:rPr>
        <w:t>Italy</w:t>
      </w:r>
      <w:bookmarkEnd w:id="32"/>
    </w:p>
    <w:p w:rsidR="007F40D1" w:rsidRPr="00E04A13" w:rsidRDefault="00A54374" w:rsidP="00F00CF2">
      <w:pPr>
        <w:rPr>
          <w:lang w:val="en-GB"/>
        </w:rPr>
      </w:pPr>
      <w:r w:rsidRPr="00E04A13">
        <w:rPr>
          <w:lang w:val="en-GB"/>
        </w:rPr>
        <w:t xml:space="preserve">The </w:t>
      </w:r>
      <w:r w:rsidR="00BF1581" w:rsidRPr="00E04A13">
        <w:rPr>
          <w:lang w:val="en-GB"/>
        </w:rPr>
        <w:t>develop</w:t>
      </w:r>
      <w:r w:rsidRPr="00E04A13">
        <w:rPr>
          <w:lang w:val="en-GB"/>
        </w:rPr>
        <w:t xml:space="preserve">ment of Eco-Industries in Italy </w:t>
      </w:r>
      <w:r w:rsidR="00BF1581" w:rsidRPr="00E04A13">
        <w:rPr>
          <w:lang w:val="en-GB"/>
        </w:rPr>
        <w:t xml:space="preserve">has to be seen in the context of the general </w:t>
      </w:r>
      <w:r w:rsidR="00886D27" w:rsidRPr="00E04A13">
        <w:rPr>
          <w:lang w:val="en-GB"/>
        </w:rPr>
        <w:t xml:space="preserve">economic </w:t>
      </w:r>
      <w:r w:rsidR="006F1F71" w:rsidRPr="00E04A13">
        <w:rPr>
          <w:lang w:val="en-GB"/>
        </w:rPr>
        <w:t xml:space="preserve">situation </w:t>
      </w:r>
      <w:r w:rsidR="00886D27" w:rsidRPr="00E04A13">
        <w:rPr>
          <w:lang w:val="en-GB"/>
        </w:rPr>
        <w:t xml:space="preserve">in </w:t>
      </w:r>
      <w:r w:rsidR="00BF1581" w:rsidRPr="00E04A13">
        <w:rPr>
          <w:lang w:val="en-GB"/>
        </w:rPr>
        <w:t xml:space="preserve">Italy. </w:t>
      </w:r>
      <w:r w:rsidR="00886D27" w:rsidRPr="00E04A13">
        <w:rPr>
          <w:lang w:val="en-GB"/>
        </w:rPr>
        <w:t xml:space="preserve">Italy </w:t>
      </w:r>
      <w:r w:rsidR="006F1F71" w:rsidRPr="00E04A13">
        <w:rPr>
          <w:lang w:val="en-GB"/>
        </w:rPr>
        <w:t xml:space="preserve">has </w:t>
      </w:r>
      <w:r w:rsidR="00886D27" w:rsidRPr="00E04A13">
        <w:rPr>
          <w:lang w:val="en-GB"/>
        </w:rPr>
        <w:t xml:space="preserve">always had </w:t>
      </w:r>
      <w:r w:rsidR="006F1F71" w:rsidRPr="00E04A13">
        <w:rPr>
          <w:lang w:val="en-GB"/>
        </w:rPr>
        <w:t>limited</w:t>
      </w:r>
      <w:r w:rsidR="007F40D1" w:rsidRPr="00E04A13">
        <w:rPr>
          <w:lang w:val="en-GB"/>
        </w:rPr>
        <w:t xml:space="preserve"> fossil fuel resources at its disposal</w:t>
      </w:r>
      <w:r w:rsidR="00886D27" w:rsidRPr="00E04A13">
        <w:rPr>
          <w:lang w:val="en-GB"/>
        </w:rPr>
        <w:t xml:space="preserve">, which meant that it was </w:t>
      </w:r>
      <w:r w:rsidR="007F40D1" w:rsidRPr="00E04A13">
        <w:rPr>
          <w:lang w:val="en-GB"/>
        </w:rPr>
        <w:t xml:space="preserve">more dependent than other industrial countries </w:t>
      </w:r>
      <w:r w:rsidR="00886D27" w:rsidRPr="00E04A13">
        <w:rPr>
          <w:lang w:val="en-GB"/>
        </w:rPr>
        <w:t xml:space="preserve">on energy imports. </w:t>
      </w:r>
      <w:r w:rsidR="00765114" w:rsidRPr="00E04A13">
        <w:rPr>
          <w:lang w:val="en-GB"/>
        </w:rPr>
        <w:t>Historically, e</w:t>
      </w:r>
      <w:r w:rsidR="00886D27" w:rsidRPr="00E04A13">
        <w:rPr>
          <w:lang w:val="en-GB"/>
        </w:rPr>
        <w:t xml:space="preserve">nergy prices were comparatively </w:t>
      </w:r>
      <w:r w:rsidR="007F40D1" w:rsidRPr="00E04A13">
        <w:rPr>
          <w:lang w:val="en-GB"/>
        </w:rPr>
        <w:t>high</w:t>
      </w:r>
      <w:r w:rsidR="00886D27" w:rsidRPr="00E04A13">
        <w:rPr>
          <w:lang w:val="en-GB"/>
        </w:rPr>
        <w:t xml:space="preserve"> in Italy</w:t>
      </w:r>
      <w:r w:rsidR="007F40D1" w:rsidRPr="00E04A13">
        <w:rPr>
          <w:lang w:val="en-GB"/>
        </w:rPr>
        <w:t xml:space="preserve"> and </w:t>
      </w:r>
      <w:r w:rsidR="00886D27" w:rsidRPr="00E04A13">
        <w:rPr>
          <w:lang w:val="en-GB"/>
        </w:rPr>
        <w:t>energy intensive industries were less important</w:t>
      </w:r>
      <w:r w:rsidR="006F1F71" w:rsidRPr="00E04A13">
        <w:rPr>
          <w:lang w:val="en-GB"/>
        </w:rPr>
        <w:t xml:space="preserve"> than in some other European countries</w:t>
      </w:r>
      <w:r w:rsidR="00D5211B" w:rsidRPr="00E04A13">
        <w:rPr>
          <w:lang w:val="en-GB"/>
        </w:rPr>
        <w:t>. Nonetheless, Italy is still one of the most important ma</w:t>
      </w:r>
      <w:r w:rsidR="007F40D1" w:rsidRPr="00E04A13">
        <w:rPr>
          <w:lang w:val="en-GB"/>
        </w:rPr>
        <w:t xml:space="preserve">nufacturing countries in Europe. </w:t>
      </w:r>
      <w:r w:rsidR="006F1F71" w:rsidRPr="00E04A13">
        <w:rPr>
          <w:lang w:val="en-GB"/>
        </w:rPr>
        <w:t>T</w:t>
      </w:r>
      <w:r w:rsidR="00332C83" w:rsidRPr="00E04A13">
        <w:rPr>
          <w:lang w:val="en-GB"/>
        </w:rPr>
        <w:t xml:space="preserve">he steel and ceramic industries </w:t>
      </w:r>
      <w:r w:rsidR="006F1F71" w:rsidRPr="00E04A13">
        <w:rPr>
          <w:lang w:val="en-GB"/>
        </w:rPr>
        <w:t xml:space="preserve">in particular </w:t>
      </w:r>
      <w:r w:rsidR="00332C83" w:rsidRPr="00E04A13">
        <w:rPr>
          <w:lang w:val="en-GB"/>
        </w:rPr>
        <w:t>contribute significantly to the economic performance of Italy</w:t>
      </w:r>
      <w:r w:rsidR="007F40D1" w:rsidRPr="00E04A13">
        <w:rPr>
          <w:lang w:val="en-GB"/>
        </w:rPr>
        <w:t xml:space="preserve">. </w:t>
      </w:r>
      <w:r w:rsidR="00D5211B" w:rsidRPr="00E04A13">
        <w:rPr>
          <w:lang w:val="en-GB"/>
        </w:rPr>
        <w:t>Compared to other countries with a strong manufacturing base, Italy has more small and medium</w:t>
      </w:r>
      <w:r w:rsidR="006F1F71" w:rsidRPr="00E04A13">
        <w:rPr>
          <w:lang w:val="en-GB"/>
        </w:rPr>
        <w:t>-sized</w:t>
      </w:r>
      <w:r w:rsidR="00D5211B" w:rsidRPr="00E04A13">
        <w:rPr>
          <w:lang w:val="en-GB"/>
        </w:rPr>
        <w:t xml:space="preserve"> manufacturing companies</w:t>
      </w:r>
      <w:r w:rsidR="00332C83" w:rsidRPr="00E04A13">
        <w:rPr>
          <w:lang w:val="en-GB"/>
        </w:rPr>
        <w:t xml:space="preserve"> and </w:t>
      </w:r>
      <w:r w:rsidR="006F1F71" w:rsidRPr="00E04A13">
        <w:rPr>
          <w:lang w:val="en-GB"/>
        </w:rPr>
        <w:t xml:space="preserve">fewer </w:t>
      </w:r>
      <w:r w:rsidR="00332C83" w:rsidRPr="00E04A13">
        <w:rPr>
          <w:lang w:val="en-GB"/>
        </w:rPr>
        <w:t>large companies</w:t>
      </w:r>
      <w:r w:rsidR="00D5211B" w:rsidRPr="00E04A13">
        <w:rPr>
          <w:lang w:val="en-GB"/>
        </w:rPr>
        <w:t xml:space="preserve">. </w:t>
      </w:r>
    </w:p>
    <w:p w:rsidR="007F40D1" w:rsidRPr="00E04A13" w:rsidRDefault="00D5211B" w:rsidP="00F00CF2">
      <w:pPr>
        <w:rPr>
          <w:lang w:val="en-GB"/>
        </w:rPr>
      </w:pPr>
      <w:r w:rsidRPr="00E04A13">
        <w:rPr>
          <w:lang w:val="en-GB"/>
        </w:rPr>
        <w:t>Since 2000</w:t>
      </w:r>
      <w:r w:rsidR="006F1F71" w:rsidRPr="00E04A13">
        <w:rPr>
          <w:lang w:val="en-GB"/>
        </w:rPr>
        <w:t>,</w:t>
      </w:r>
      <w:r w:rsidRPr="00E04A13">
        <w:rPr>
          <w:lang w:val="en-GB"/>
        </w:rPr>
        <w:t xml:space="preserve"> Italy’s economic growth rates </w:t>
      </w:r>
      <w:r w:rsidR="006F1F71" w:rsidRPr="00E04A13">
        <w:rPr>
          <w:lang w:val="en-GB"/>
        </w:rPr>
        <w:t>have been</w:t>
      </w:r>
      <w:r w:rsidRPr="00E04A13">
        <w:rPr>
          <w:lang w:val="en-GB"/>
        </w:rPr>
        <w:t xml:space="preserve"> consistently </w:t>
      </w:r>
      <w:r w:rsidR="007F40D1" w:rsidRPr="00E04A13">
        <w:rPr>
          <w:lang w:val="en-GB"/>
        </w:rPr>
        <w:t>lower</w:t>
      </w:r>
      <w:r w:rsidRPr="00E04A13">
        <w:rPr>
          <w:lang w:val="en-GB"/>
        </w:rPr>
        <w:t xml:space="preserve"> than those of other European countries.</w:t>
      </w:r>
      <w:r w:rsidR="005A083D" w:rsidRPr="00E04A13">
        <w:rPr>
          <w:rStyle w:val="FootnoteReference"/>
          <w:lang w:val="en-GB"/>
        </w:rPr>
        <w:footnoteReference w:id="20"/>
      </w:r>
      <w:r w:rsidRPr="00E04A13">
        <w:rPr>
          <w:lang w:val="en-GB"/>
        </w:rPr>
        <w:t xml:space="preserve"> </w:t>
      </w:r>
      <w:r w:rsidR="006F1F71" w:rsidRPr="00E04A13">
        <w:rPr>
          <w:lang w:val="en-GB"/>
        </w:rPr>
        <w:t xml:space="preserve">The particular </w:t>
      </w:r>
      <w:r w:rsidR="00CB375A" w:rsidRPr="00E04A13">
        <w:rPr>
          <w:lang w:val="en-GB"/>
        </w:rPr>
        <w:t xml:space="preserve">nature of </w:t>
      </w:r>
      <w:r w:rsidRPr="00E04A13">
        <w:rPr>
          <w:lang w:val="en-GB"/>
        </w:rPr>
        <w:t xml:space="preserve">Italy’s manufacturing industry </w:t>
      </w:r>
      <w:r w:rsidR="00CB375A" w:rsidRPr="00E04A13">
        <w:rPr>
          <w:lang w:val="en-GB"/>
        </w:rPr>
        <w:t xml:space="preserve">has resulted in it </w:t>
      </w:r>
      <w:r w:rsidRPr="00E04A13">
        <w:rPr>
          <w:lang w:val="en-GB"/>
        </w:rPr>
        <w:t>fac</w:t>
      </w:r>
      <w:r w:rsidR="00CB375A" w:rsidRPr="00E04A13">
        <w:rPr>
          <w:lang w:val="en-GB"/>
        </w:rPr>
        <w:t>ing</w:t>
      </w:r>
      <w:r w:rsidRPr="00E04A13">
        <w:rPr>
          <w:lang w:val="en-GB"/>
        </w:rPr>
        <w:t xml:space="preserve"> strong competition from developing countries</w:t>
      </w:r>
      <w:r w:rsidR="00CB375A" w:rsidRPr="00E04A13">
        <w:rPr>
          <w:lang w:val="en-GB"/>
        </w:rPr>
        <w:t xml:space="preserve">. Further, </w:t>
      </w:r>
      <w:r w:rsidRPr="00E04A13">
        <w:rPr>
          <w:lang w:val="en-GB"/>
        </w:rPr>
        <w:t xml:space="preserve">the lack of political reforms </w:t>
      </w:r>
      <w:r w:rsidR="00CB375A" w:rsidRPr="00E04A13">
        <w:rPr>
          <w:lang w:val="en-GB"/>
        </w:rPr>
        <w:t xml:space="preserve">and political turmoil in general has been </w:t>
      </w:r>
      <w:r w:rsidRPr="00E04A13">
        <w:rPr>
          <w:lang w:val="en-GB"/>
        </w:rPr>
        <w:t xml:space="preserve">responsible for </w:t>
      </w:r>
      <w:r w:rsidR="007F40D1" w:rsidRPr="00E04A13">
        <w:rPr>
          <w:lang w:val="en-GB"/>
        </w:rPr>
        <w:t xml:space="preserve">a low </w:t>
      </w:r>
      <w:r w:rsidRPr="00E04A13">
        <w:rPr>
          <w:lang w:val="en-GB"/>
        </w:rPr>
        <w:t xml:space="preserve">investment </w:t>
      </w:r>
      <w:r w:rsidR="007F40D1" w:rsidRPr="00E04A13">
        <w:rPr>
          <w:lang w:val="en-GB"/>
        </w:rPr>
        <w:t xml:space="preserve">rate </w:t>
      </w:r>
      <w:r w:rsidRPr="00E04A13">
        <w:rPr>
          <w:lang w:val="en-GB"/>
        </w:rPr>
        <w:t>in the economy</w:t>
      </w:r>
      <w:r w:rsidR="00CB375A" w:rsidRPr="00E04A13">
        <w:rPr>
          <w:lang w:val="en-GB"/>
        </w:rPr>
        <w:t xml:space="preserve"> overall</w:t>
      </w:r>
      <w:r w:rsidRPr="00E04A13">
        <w:rPr>
          <w:lang w:val="en-GB"/>
        </w:rPr>
        <w:t>.</w:t>
      </w:r>
    </w:p>
    <w:p w:rsidR="00D5211B" w:rsidRPr="00E04A13" w:rsidRDefault="007F40D1" w:rsidP="00F00CF2">
      <w:pPr>
        <w:rPr>
          <w:lang w:val="en-GB"/>
        </w:rPr>
      </w:pPr>
      <w:r w:rsidRPr="00E04A13">
        <w:rPr>
          <w:lang w:val="en-GB"/>
        </w:rPr>
        <w:t>Due to its high level of government debt, Italy was forced to scale back government spending in the middle of the economic crisis</w:t>
      </w:r>
      <w:r w:rsidR="00CB375A" w:rsidRPr="00E04A13">
        <w:rPr>
          <w:lang w:val="en-GB"/>
        </w:rPr>
        <w:t>.</w:t>
      </w:r>
      <w:r w:rsidR="005A083D" w:rsidRPr="00E04A13">
        <w:rPr>
          <w:rStyle w:val="FootnoteReference"/>
          <w:lang w:val="en-GB"/>
        </w:rPr>
        <w:footnoteReference w:id="21"/>
      </w:r>
      <w:r w:rsidR="00CB375A" w:rsidRPr="00E04A13">
        <w:rPr>
          <w:lang w:val="en-GB"/>
        </w:rPr>
        <w:t xml:space="preserve"> This led to </w:t>
      </w:r>
      <w:r w:rsidRPr="00E04A13">
        <w:rPr>
          <w:lang w:val="en-GB"/>
        </w:rPr>
        <w:t>the Italian economy suffer</w:t>
      </w:r>
      <w:r w:rsidR="00CB375A" w:rsidRPr="00E04A13">
        <w:rPr>
          <w:lang w:val="en-GB"/>
        </w:rPr>
        <w:t>ing</w:t>
      </w:r>
      <w:r w:rsidRPr="00E04A13">
        <w:rPr>
          <w:lang w:val="en-GB"/>
        </w:rPr>
        <w:t xml:space="preserve"> one of the longest recessions of its history. </w:t>
      </w:r>
    </w:p>
    <w:p w:rsidR="008E2174" w:rsidRPr="00E04A13" w:rsidRDefault="00D5211B" w:rsidP="00F00CF2">
      <w:pPr>
        <w:rPr>
          <w:lang w:val="en-GB"/>
        </w:rPr>
      </w:pPr>
      <w:r w:rsidRPr="00E04A13">
        <w:rPr>
          <w:lang w:val="en-GB"/>
        </w:rPr>
        <w:t xml:space="preserve">The development of Italy’s Eco-industry </w:t>
      </w:r>
      <w:r w:rsidR="00CB375A" w:rsidRPr="00E04A13">
        <w:rPr>
          <w:lang w:val="en-GB"/>
        </w:rPr>
        <w:t xml:space="preserve">over the assessment period </w:t>
      </w:r>
      <w:r w:rsidRPr="00E04A13">
        <w:rPr>
          <w:lang w:val="en-GB"/>
        </w:rPr>
        <w:t xml:space="preserve">has to be seen in </w:t>
      </w:r>
      <w:r w:rsidR="00CB375A" w:rsidRPr="00E04A13">
        <w:rPr>
          <w:lang w:val="en-GB"/>
        </w:rPr>
        <w:t xml:space="preserve">this </w:t>
      </w:r>
      <w:r w:rsidRPr="00E04A13">
        <w:rPr>
          <w:lang w:val="en-GB"/>
        </w:rPr>
        <w:t xml:space="preserve">context. </w:t>
      </w:r>
      <w:r w:rsidR="00452FC9" w:rsidRPr="00E04A13">
        <w:rPr>
          <w:lang w:val="en-GB"/>
        </w:rPr>
        <w:t>Overall growth was significantly slower than in other countries</w:t>
      </w:r>
      <w:r w:rsidR="00CB375A" w:rsidRPr="00E04A13">
        <w:rPr>
          <w:lang w:val="en-GB"/>
        </w:rPr>
        <w:t>,</w:t>
      </w:r>
      <w:r w:rsidR="00452FC9" w:rsidRPr="00E04A13">
        <w:rPr>
          <w:lang w:val="en-GB"/>
        </w:rPr>
        <w:t xml:space="preserve"> but in some areas import</w:t>
      </w:r>
      <w:r w:rsidR="00E61E8D" w:rsidRPr="00E04A13">
        <w:rPr>
          <w:lang w:val="en-GB"/>
        </w:rPr>
        <w:t xml:space="preserve">ant progress has been achieved: </w:t>
      </w:r>
    </w:p>
    <w:p w:rsidR="008E2174" w:rsidRPr="00E04A13" w:rsidRDefault="008E2174" w:rsidP="00503F5D">
      <w:pPr>
        <w:pStyle w:val="ListBullet"/>
        <w:rPr>
          <w:lang w:val="en-GB"/>
        </w:rPr>
      </w:pPr>
      <w:r w:rsidRPr="00E04A13">
        <w:rPr>
          <w:lang w:val="en-GB"/>
        </w:rPr>
        <w:t xml:space="preserve">Italy has abandoned nuclear energy production by 1990 and a recent attempt </w:t>
      </w:r>
      <w:r w:rsidR="007746ED" w:rsidRPr="00E04A13">
        <w:rPr>
          <w:lang w:val="en-GB"/>
        </w:rPr>
        <w:t xml:space="preserve">to revive it has been rejected in a referendum. Following a series of power cuts in 2004/05 Italy invested heavily in power generation, predominantly in natural gas facilities but also in renewable energy production. In 2011, investments in renewable energy generation amounted to €21 billion and the Italian market was the second biggest market in the EU. </w:t>
      </w:r>
      <w:r w:rsidR="00E61E8D" w:rsidRPr="00E04A13">
        <w:rPr>
          <w:lang w:val="en-GB"/>
        </w:rPr>
        <w:t>Rene</w:t>
      </w:r>
      <w:r w:rsidR="00E030CB" w:rsidRPr="00E04A13">
        <w:rPr>
          <w:lang w:val="en-GB"/>
        </w:rPr>
        <w:t xml:space="preserve">wable energy generation increased from 18 GW in 2000 to over 40 GW in 2011. </w:t>
      </w:r>
      <w:r w:rsidR="00E61E8D" w:rsidRPr="00E04A13">
        <w:rPr>
          <w:lang w:val="en-GB"/>
        </w:rPr>
        <w:t>In 2010 108.000 people in Italy were employed directly or indirectly in the renewable energy sector.</w:t>
      </w:r>
      <w:r w:rsidR="005A083D" w:rsidRPr="00E04A13">
        <w:rPr>
          <w:rStyle w:val="FootnoteReference"/>
          <w:lang w:val="en-GB"/>
        </w:rPr>
        <w:footnoteReference w:id="22"/>
      </w:r>
      <w:r w:rsidR="005A083D" w:rsidRPr="00E04A13">
        <w:rPr>
          <w:lang w:val="en-GB"/>
        </w:rPr>
        <w:t xml:space="preserve"> </w:t>
      </w:r>
      <w:r w:rsidR="007746ED" w:rsidRPr="00E04A13">
        <w:rPr>
          <w:lang w:val="en-GB"/>
        </w:rPr>
        <w:t xml:space="preserve">This major investment boom was achieved by a similar set of policies as in other European countries mainly a feed in tariff and green certificates. </w:t>
      </w:r>
    </w:p>
    <w:p w:rsidR="007746ED" w:rsidRPr="00E04A13" w:rsidRDefault="00E61E8D" w:rsidP="00503F5D">
      <w:pPr>
        <w:pStyle w:val="ListBullet"/>
        <w:rPr>
          <w:lang w:val="en-GB"/>
        </w:rPr>
      </w:pPr>
      <w:r w:rsidRPr="00E04A13">
        <w:rPr>
          <w:lang w:val="en-GB"/>
        </w:rPr>
        <w:t>Waste management</w:t>
      </w:r>
      <w:r w:rsidR="007F40D1" w:rsidRPr="00E04A13">
        <w:rPr>
          <w:lang w:val="en-GB"/>
        </w:rPr>
        <w:t xml:space="preserve"> services </w:t>
      </w:r>
      <w:r w:rsidRPr="00E04A13">
        <w:rPr>
          <w:lang w:val="en-GB"/>
        </w:rPr>
        <w:t>(27%) and water supply services (10%) have grown considerably between 2000 and 2009.</w:t>
      </w:r>
      <w:r w:rsidR="005A083D" w:rsidRPr="00E04A13">
        <w:rPr>
          <w:rStyle w:val="FootnoteReference"/>
          <w:lang w:val="en-GB"/>
        </w:rPr>
        <w:footnoteReference w:id="23"/>
      </w:r>
      <w:r w:rsidRPr="00E04A13">
        <w:rPr>
          <w:lang w:val="en-GB"/>
        </w:rPr>
        <w:t xml:space="preserve"> At the same time those services were increasingly provided by private utilities and not by government bodies. The increased output in those sectors was mainly caused by the stricter requirements of European waste </w:t>
      </w:r>
      <w:r w:rsidR="007F40D1" w:rsidRPr="00E04A13">
        <w:rPr>
          <w:lang w:val="en-GB"/>
        </w:rPr>
        <w:t xml:space="preserve">and water </w:t>
      </w:r>
      <w:r w:rsidRPr="00E04A13">
        <w:rPr>
          <w:lang w:val="en-GB"/>
        </w:rPr>
        <w:t xml:space="preserve">directives coming into force since 2000. </w:t>
      </w:r>
    </w:p>
    <w:p w:rsidR="00E61E8D" w:rsidRPr="00E04A13" w:rsidRDefault="00E61E8D" w:rsidP="00503F5D">
      <w:pPr>
        <w:pStyle w:val="ListBullet"/>
        <w:rPr>
          <w:lang w:val="en-GB"/>
        </w:rPr>
      </w:pPr>
      <w:r w:rsidRPr="00E04A13">
        <w:rPr>
          <w:lang w:val="en-GB"/>
        </w:rPr>
        <w:t xml:space="preserve">Italy has become a leader in the development of </w:t>
      </w:r>
      <w:r w:rsidR="00CB375A" w:rsidRPr="00E04A13">
        <w:rPr>
          <w:lang w:val="en-GB"/>
        </w:rPr>
        <w:t>eco-</w:t>
      </w:r>
      <w:proofErr w:type="spellStart"/>
      <w:r w:rsidRPr="00E04A13">
        <w:rPr>
          <w:lang w:val="en-GB"/>
        </w:rPr>
        <w:t>labeled</w:t>
      </w:r>
      <w:proofErr w:type="spellEnd"/>
      <w:r w:rsidRPr="00E04A13">
        <w:rPr>
          <w:lang w:val="en-GB"/>
        </w:rPr>
        <w:t xml:space="preserve"> products. Overall</w:t>
      </w:r>
      <w:r w:rsidR="00CB375A" w:rsidRPr="00E04A13">
        <w:rPr>
          <w:lang w:val="en-GB"/>
        </w:rPr>
        <w:t>,</w:t>
      </w:r>
      <w:r w:rsidRPr="00E04A13">
        <w:rPr>
          <w:lang w:val="en-GB"/>
        </w:rPr>
        <w:t xml:space="preserve"> nearly 50% of all products with </w:t>
      </w:r>
      <w:proofErr w:type="gramStart"/>
      <w:r w:rsidRPr="00E04A13">
        <w:rPr>
          <w:lang w:val="en-GB"/>
        </w:rPr>
        <w:t>an</w:t>
      </w:r>
      <w:proofErr w:type="gramEnd"/>
      <w:r w:rsidRPr="00E04A13">
        <w:rPr>
          <w:lang w:val="en-GB"/>
        </w:rPr>
        <w:t xml:space="preserve"> EU eco label were developed in Italy.</w:t>
      </w:r>
      <w:r w:rsidR="005A083D" w:rsidRPr="00E04A13">
        <w:rPr>
          <w:rStyle w:val="FootnoteReference"/>
          <w:lang w:val="en-GB"/>
        </w:rPr>
        <w:footnoteReference w:id="24"/>
      </w:r>
      <w:r w:rsidRPr="00E04A13">
        <w:rPr>
          <w:lang w:val="en-GB"/>
        </w:rPr>
        <w:t xml:space="preserve"> </w:t>
      </w:r>
    </w:p>
    <w:p w:rsidR="00E61E8D" w:rsidRPr="00E04A13" w:rsidRDefault="00BE5846" w:rsidP="00503F5D">
      <w:pPr>
        <w:pStyle w:val="ListBullet"/>
        <w:rPr>
          <w:lang w:val="en-GB"/>
        </w:rPr>
      </w:pPr>
      <w:r w:rsidRPr="00E04A13">
        <w:rPr>
          <w:lang w:val="en-GB"/>
        </w:rPr>
        <w:t xml:space="preserve">Italy is also as leader in organic farming in line with an agricultural </w:t>
      </w:r>
      <w:proofErr w:type="gramStart"/>
      <w:r w:rsidRPr="00E04A13">
        <w:rPr>
          <w:lang w:val="en-GB"/>
        </w:rPr>
        <w:t>sector</w:t>
      </w:r>
      <w:proofErr w:type="gramEnd"/>
      <w:r w:rsidRPr="00E04A13">
        <w:rPr>
          <w:lang w:val="en-GB"/>
        </w:rPr>
        <w:t xml:space="preserve"> which focuses more and more on high quality output. In 2011 nearly 9% of Italy’s agricultural output was from organic farming.</w:t>
      </w:r>
      <w:r w:rsidR="005A083D" w:rsidRPr="00E04A13">
        <w:rPr>
          <w:rStyle w:val="FootnoteReference"/>
          <w:lang w:val="en-GB"/>
        </w:rPr>
        <w:footnoteReference w:id="25"/>
      </w:r>
      <w:r w:rsidRPr="00E04A13">
        <w:rPr>
          <w:lang w:val="en-GB"/>
        </w:rPr>
        <w:t xml:space="preserve"> </w:t>
      </w:r>
    </w:p>
    <w:p w:rsidR="00BE5846" w:rsidRPr="00E04A13" w:rsidRDefault="007F40D1" w:rsidP="00BE5846">
      <w:pPr>
        <w:rPr>
          <w:lang w:val="en-GB"/>
        </w:rPr>
      </w:pPr>
      <w:r w:rsidRPr="00E04A13">
        <w:rPr>
          <w:lang w:val="en-GB"/>
        </w:rPr>
        <w:t>T</w:t>
      </w:r>
      <w:r w:rsidR="00BE5846" w:rsidRPr="00E04A13">
        <w:rPr>
          <w:lang w:val="en-GB"/>
        </w:rPr>
        <w:t xml:space="preserve">he ongoing economic crisis </w:t>
      </w:r>
      <w:r w:rsidR="00CB375A" w:rsidRPr="00E04A13">
        <w:rPr>
          <w:lang w:val="en-GB"/>
        </w:rPr>
        <w:t xml:space="preserve">in </w:t>
      </w:r>
      <w:r w:rsidR="00BE5846" w:rsidRPr="00E04A13">
        <w:rPr>
          <w:lang w:val="en-GB"/>
        </w:rPr>
        <w:t>Italy has important consequences also for its Eco-</w:t>
      </w:r>
      <w:r w:rsidR="007F1B9B">
        <w:rPr>
          <w:lang w:val="en-GB"/>
        </w:rPr>
        <w:t>I</w:t>
      </w:r>
      <w:r w:rsidR="00BE5846" w:rsidRPr="00E04A13">
        <w:rPr>
          <w:lang w:val="en-GB"/>
        </w:rPr>
        <w:t xml:space="preserve">ndustries. </w:t>
      </w:r>
      <w:r w:rsidR="006104D5" w:rsidRPr="00E04A13">
        <w:rPr>
          <w:lang w:val="en-GB"/>
        </w:rPr>
        <w:t xml:space="preserve">The Italian economy as a whole has been falling behind in most indicators of innovation for </w:t>
      </w:r>
      <w:r w:rsidR="00CB375A" w:rsidRPr="00E04A13">
        <w:rPr>
          <w:lang w:val="en-GB"/>
        </w:rPr>
        <w:t>some time</w:t>
      </w:r>
      <w:r w:rsidR="006104D5" w:rsidRPr="00E04A13">
        <w:rPr>
          <w:lang w:val="en-GB"/>
        </w:rPr>
        <w:t>. Italy spends less on R&amp;D and produces fewer patents</w:t>
      </w:r>
      <w:r w:rsidRPr="00E04A13">
        <w:rPr>
          <w:lang w:val="en-GB"/>
        </w:rPr>
        <w:t xml:space="preserve"> (</w:t>
      </w:r>
      <w:r w:rsidR="006104D5" w:rsidRPr="00E04A13">
        <w:rPr>
          <w:lang w:val="en-GB"/>
        </w:rPr>
        <w:t>only 2.5% of all OECD patents) than other economies of its size.</w:t>
      </w:r>
      <w:r w:rsidR="005A083D" w:rsidRPr="00E04A13">
        <w:rPr>
          <w:rStyle w:val="FootnoteReference"/>
          <w:lang w:val="en-GB"/>
        </w:rPr>
        <w:footnoteReference w:id="26"/>
      </w:r>
      <w:r w:rsidR="006104D5" w:rsidRPr="00E04A13">
        <w:rPr>
          <w:lang w:val="en-GB"/>
        </w:rPr>
        <w:t xml:space="preserve"> For a</w:t>
      </w:r>
      <w:r w:rsidR="00CB375A" w:rsidRPr="00E04A13">
        <w:rPr>
          <w:lang w:val="en-GB"/>
        </w:rPr>
        <w:t>n</w:t>
      </w:r>
      <w:r w:rsidR="006104D5" w:rsidRPr="00E04A13">
        <w:rPr>
          <w:lang w:val="en-GB"/>
        </w:rPr>
        <w:t xml:space="preserve"> </w:t>
      </w:r>
      <w:r w:rsidR="00CB375A" w:rsidRPr="00E04A13">
        <w:rPr>
          <w:lang w:val="en-GB"/>
        </w:rPr>
        <w:t xml:space="preserve">emerging </w:t>
      </w:r>
      <w:r w:rsidR="006104D5" w:rsidRPr="00E04A13">
        <w:rPr>
          <w:lang w:val="en-GB"/>
        </w:rPr>
        <w:t>sector like the Eco-</w:t>
      </w:r>
      <w:r w:rsidR="007F1B9B">
        <w:rPr>
          <w:lang w:val="en-GB"/>
        </w:rPr>
        <w:t>I</w:t>
      </w:r>
      <w:r w:rsidR="006104D5" w:rsidRPr="00E04A13">
        <w:rPr>
          <w:lang w:val="en-GB"/>
        </w:rPr>
        <w:t>ndustries</w:t>
      </w:r>
      <w:r w:rsidR="00CB375A" w:rsidRPr="00E04A13">
        <w:rPr>
          <w:lang w:val="en-GB"/>
        </w:rPr>
        <w:t>,</w:t>
      </w:r>
      <w:r w:rsidR="006104D5" w:rsidRPr="00E04A13">
        <w:rPr>
          <w:lang w:val="en-GB"/>
        </w:rPr>
        <w:t xml:space="preserve"> such a lack of innovation is obviously more threatening than for mature industries</w:t>
      </w:r>
      <w:r w:rsidR="00CB375A" w:rsidRPr="00E04A13">
        <w:rPr>
          <w:lang w:val="en-GB"/>
        </w:rPr>
        <w:t>,</w:t>
      </w:r>
      <w:r w:rsidR="006104D5" w:rsidRPr="00E04A13">
        <w:rPr>
          <w:lang w:val="en-GB"/>
        </w:rPr>
        <w:t xml:space="preserve"> as without innovation the danger of competition from low cost countries is higher. </w:t>
      </w:r>
      <w:r w:rsidR="00332C83" w:rsidRPr="00E04A13">
        <w:rPr>
          <w:lang w:val="en-GB"/>
        </w:rPr>
        <w:t xml:space="preserve">Recently, many universities mainly in the North of Italy have created private sector technology spinoffs that might in time improve the innovation performance of Italy. </w:t>
      </w:r>
    </w:p>
    <w:p w:rsidR="00332C83" w:rsidRPr="00E04A13" w:rsidRDefault="00332C83" w:rsidP="00BE5846">
      <w:pPr>
        <w:rPr>
          <w:lang w:val="en-GB"/>
        </w:rPr>
      </w:pPr>
      <w:r w:rsidRPr="00E04A13">
        <w:rPr>
          <w:lang w:val="en-GB"/>
        </w:rPr>
        <w:t>Generally</w:t>
      </w:r>
      <w:r w:rsidR="00CB375A" w:rsidRPr="00E04A13">
        <w:rPr>
          <w:lang w:val="en-GB"/>
        </w:rPr>
        <w:t>,</w:t>
      </w:r>
      <w:r w:rsidRPr="00E04A13">
        <w:rPr>
          <w:lang w:val="en-GB"/>
        </w:rPr>
        <w:t xml:space="preserve"> it is worth noting that the economic North-South</w:t>
      </w:r>
      <w:r w:rsidR="00CB375A" w:rsidRPr="00E04A13">
        <w:rPr>
          <w:lang w:val="en-GB"/>
        </w:rPr>
        <w:t xml:space="preserve"> divide</w:t>
      </w:r>
      <w:r w:rsidRPr="00E04A13">
        <w:rPr>
          <w:lang w:val="en-GB"/>
        </w:rPr>
        <w:t xml:space="preserve"> in Italy is also important to understand the economic performance of green industries in Italy. Traditionally</w:t>
      </w:r>
      <w:r w:rsidR="00CB375A" w:rsidRPr="00E04A13">
        <w:rPr>
          <w:lang w:val="en-GB"/>
        </w:rPr>
        <w:t>,</w:t>
      </w:r>
      <w:r w:rsidRPr="00E04A13">
        <w:rPr>
          <w:lang w:val="en-GB"/>
        </w:rPr>
        <w:t xml:space="preserve"> regi</w:t>
      </w:r>
      <w:r w:rsidR="00CD6A6E" w:rsidRPr="00E04A13">
        <w:rPr>
          <w:lang w:val="en-GB"/>
        </w:rPr>
        <w:t xml:space="preserve">onal </w:t>
      </w:r>
      <w:r w:rsidR="00CB375A" w:rsidRPr="00E04A13">
        <w:rPr>
          <w:lang w:val="en-GB"/>
        </w:rPr>
        <w:t xml:space="preserve">development </w:t>
      </w:r>
      <w:r w:rsidR="00CD6A6E" w:rsidRPr="00E04A13">
        <w:rPr>
          <w:lang w:val="en-GB"/>
        </w:rPr>
        <w:t>policy in Italy was focus</w:t>
      </w:r>
      <w:r w:rsidR="00CB375A" w:rsidRPr="00E04A13">
        <w:rPr>
          <w:lang w:val="en-GB"/>
        </w:rPr>
        <w:t>ed</w:t>
      </w:r>
      <w:r w:rsidRPr="00E04A13">
        <w:rPr>
          <w:lang w:val="en-GB"/>
        </w:rPr>
        <w:t xml:space="preserve"> on industrializing the South of Italy</w:t>
      </w:r>
      <w:r w:rsidR="00CD6A6E" w:rsidRPr="00E04A13">
        <w:rPr>
          <w:lang w:val="en-GB"/>
        </w:rPr>
        <w:t>,</w:t>
      </w:r>
      <w:r w:rsidRPr="00E04A13">
        <w:rPr>
          <w:lang w:val="en-GB"/>
        </w:rPr>
        <w:t xml:space="preserve"> very often with capital intensive and </w:t>
      </w:r>
      <w:r w:rsidR="00CD6A6E" w:rsidRPr="00E04A13">
        <w:rPr>
          <w:lang w:val="en-GB"/>
        </w:rPr>
        <w:t xml:space="preserve">also pollution intensive industries. On the other hand, Northern Italian industries were more </w:t>
      </w:r>
      <w:r w:rsidR="00CB375A" w:rsidRPr="00E04A13">
        <w:rPr>
          <w:lang w:val="en-GB"/>
        </w:rPr>
        <w:t>knowledge-</w:t>
      </w:r>
      <w:r w:rsidR="00CD6A6E" w:rsidRPr="00E04A13">
        <w:rPr>
          <w:lang w:val="en-GB"/>
        </w:rPr>
        <w:t>based with a stronger innovative focus. Th</w:t>
      </w:r>
      <w:r w:rsidR="00CB375A" w:rsidRPr="00E04A13">
        <w:rPr>
          <w:lang w:val="en-GB"/>
        </w:rPr>
        <w:t xml:space="preserve">ese different development tracks have </w:t>
      </w:r>
      <w:r w:rsidR="00CD6A6E" w:rsidRPr="00E04A13">
        <w:rPr>
          <w:lang w:val="en-GB"/>
        </w:rPr>
        <w:t xml:space="preserve">led today to a strong concentration of green industries in Northern Italy with only small pockets of such industries in </w:t>
      </w:r>
      <w:r w:rsidR="00CB375A" w:rsidRPr="00E04A13">
        <w:rPr>
          <w:lang w:val="en-GB"/>
        </w:rPr>
        <w:t>Southern</w:t>
      </w:r>
      <w:r w:rsidR="00CD6A6E" w:rsidRPr="00E04A13">
        <w:rPr>
          <w:lang w:val="en-GB"/>
        </w:rPr>
        <w:t xml:space="preserve"> Italy (</w:t>
      </w:r>
      <w:proofErr w:type="spellStart"/>
      <w:r w:rsidR="00CD6A6E" w:rsidRPr="00E04A13">
        <w:rPr>
          <w:lang w:val="en-GB"/>
        </w:rPr>
        <w:t>eg</w:t>
      </w:r>
      <w:proofErr w:type="spellEnd"/>
      <w:r w:rsidR="00CD6A6E" w:rsidRPr="00E04A13">
        <w:rPr>
          <w:lang w:val="en-GB"/>
        </w:rPr>
        <w:t xml:space="preserve">. Catania). </w:t>
      </w:r>
    </w:p>
    <w:p w:rsidR="00452FC9" w:rsidRPr="00E04A13" w:rsidRDefault="006104D5" w:rsidP="00F00CF2">
      <w:pPr>
        <w:rPr>
          <w:lang w:val="en-GB"/>
        </w:rPr>
      </w:pPr>
      <w:r w:rsidRPr="00E04A13">
        <w:rPr>
          <w:lang w:val="en-GB"/>
        </w:rPr>
        <w:t>In conclusion, although a relative latecomer in the development of Eco-</w:t>
      </w:r>
      <w:r w:rsidR="007F1B9B">
        <w:rPr>
          <w:lang w:val="en-GB"/>
        </w:rPr>
        <w:t>I</w:t>
      </w:r>
      <w:r w:rsidRPr="00E04A13">
        <w:rPr>
          <w:lang w:val="en-GB"/>
        </w:rPr>
        <w:t>ndustries</w:t>
      </w:r>
      <w:r w:rsidR="00CB375A" w:rsidRPr="00E04A13">
        <w:rPr>
          <w:lang w:val="en-GB"/>
        </w:rPr>
        <w:t>,</w:t>
      </w:r>
      <w:r w:rsidRPr="00E04A13">
        <w:rPr>
          <w:lang w:val="en-GB"/>
        </w:rPr>
        <w:t xml:space="preserve"> Italy has developed a very remarkable core of Eco-</w:t>
      </w:r>
      <w:r w:rsidR="007F1B9B">
        <w:rPr>
          <w:lang w:val="en-GB"/>
        </w:rPr>
        <w:t>I</w:t>
      </w:r>
      <w:r w:rsidRPr="00E04A13">
        <w:rPr>
          <w:lang w:val="en-GB"/>
        </w:rPr>
        <w:t>ndustries, especially in the renewable energy sector</w:t>
      </w:r>
      <w:r w:rsidR="00CB375A" w:rsidRPr="00E04A13">
        <w:rPr>
          <w:lang w:val="en-GB"/>
        </w:rPr>
        <w:t xml:space="preserve"> (which has been led by policy support)</w:t>
      </w:r>
      <w:r w:rsidRPr="00E04A13">
        <w:rPr>
          <w:lang w:val="en-GB"/>
        </w:rPr>
        <w:t xml:space="preserve">. </w:t>
      </w:r>
      <w:r w:rsidR="00873830" w:rsidRPr="00E04A13">
        <w:rPr>
          <w:lang w:val="en-GB"/>
        </w:rPr>
        <w:t xml:space="preserve">Compared to other European industries growth in LCEGS was slow in Italy mostly due to the overall </w:t>
      </w:r>
      <w:r w:rsidR="00765114" w:rsidRPr="00E04A13">
        <w:rPr>
          <w:lang w:val="en-GB"/>
        </w:rPr>
        <w:t>poor</w:t>
      </w:r>
      <w:r w:rsidR="007E7DAA" w:rsidRPr="00E04A13">
        <w:rPr>
          <w:lang w:val="en-GB"/>
        </w:rPr>
        <w:t xml:space="preserve"> economic performance. But nonetheless growth in LCEGS in Italy by far outstripped the negative development of GDP</w:t>
      </w:r>
      <w:r w:rsidR="009665BB">
        <w:rPr>
          <w:lang w:val="en-GB"/>
        </w:rPr>
        <w:t>, which has contracted by 1% in nominal terms between 2008 and 2011</w:t>
      </w:r>
      <w:r w:rsidR="007E7DAA" w:rsidRPr="00E04A13">
        <w:rPr>
          <w:lang w:val="en-GB"/>
        </w:rPr>
        <w:t xml:space="preserve">. </w:t>
      </w:r>
      <w:r w:rsidRPr="00E04A13">
        <w:rPr>
          <w:lang w:val="en-GB"/>
        </w:rPr>
        <w:t xml:space="preserve">To achieve more growth in </w:t>
      </w:r>
      <w:r w:rsidR="009665BB">
        <w:rPr>
          <w:lang w:val="en-GB"/>
        </w:rPr>
        <w:t>the LCEGS sector</w:t>
      </w:r>
      <w:r w:rsidRPr="00E04A13">
        <w:rPr>
          <w:lang w:val="en-GB"/>
        </w:rPr>
        <w:t>, Italy needs to strengthen its innovation basis further</w:t>
      </w:r>
      <w:r w:rsidR="00CB375A" w:rsidRPr="00E04A13">
        <w:rPr>
          <w:lang w:val="en-GB"/>
        </w:rPr>
        <w:t xml:space="preserve"> and provide policy and investment stability</w:t>
      </w:r>
      <w:r w:rsidRPr="00E04A13">
        <w:rPr>
          <w:lang w:val="en-GB"/>
        </w:rPr>
        <w:t xml:space="preserve">. </w:t>
      </w:r>
    </w:p>
    <w:tbl>
      <w:tblPr>
        <w:tblStyle w:val="TableGrid"/>
        <w:tblW w:w="9322" w:type="dxa"/>
        <w:tblLook w:val="00BF"/>
      </w:tblPr>
      <w:tblGrid>
        <w:gridCol w:w="1548"/>
        <w:gridCol w:w="1554"/>
        <w:gridCol w:w="1555"/>
        <w:gridCol w:w="1555"/>
        <w:gridCol w:w="1555"/>
        <w:gridCol w:w="1555"/>
      </w:tblGrid>
      <w:tr w:rsidR="008159EF">
        <w:trPr>
          <w:trHeight w:val="531"/>
        </w:trPr>
        <w:tc>
          <w:tcPr>
            <w:tcW w:w="1548" w:type="dxa"/>
          </w:tcPr>
          <w:p w:rsidR="008159EF" w:rsidRDefault="008159EF" w:rsidP="00503F5D">
            <w:pPr>
              <w:jc w:val="center"/>
              <w:rPr>
                <w:lang w:val="en-GB"/>
              </w:rPr>
            </w:pPr>
          </w:p>
        </w:tc>
        <w:tc>
          <w:tcPr>
            <w:tcW w:w="1554" w:type="dxa"/>
          </w:tcPr>
          <w:p w:rsidR="008159EF" w:rsidRDefault="008159EF" w:rsidP="00503F5D">
            <w:pPr>
              <w:jc w:val="center"/>
              <w:rPr>
                <w:lang w:val="en-GB"/>
              </w:rPr>
            </w:pPr>
            <w:r>
              <w:rPr>
                <w:lang w:val="en-GB"/>
              </w:rPr>
              <w:t>2008</w:t>
            </w:r>
          </w:p>
        </w:tc>
        <w:tc>
          <w:tcPr>
            <w:tcW w:w="1555" w:type="dxa"/>
          </w:tcPr>
          <w:p w:rsidR="008159EF" w:rsidRDefault="008159EF" w:rsidP="00503F5D">
            <w:pPr>
              <w:jc w:val="center"/>
              <w:rPr>
                <w:lang w:val="en-GB"/>
              </w:rPr>
            </w:pPr>
            <w:r>
              <w:rPr>
                <w:lang w:val="en-GB"/>
              </w:rPr>
              <w:t>2009</w:t>
            </w:r>
          </w:p>
        </w:tc>
        <w:tc>
          <w:tcPr>
            <w:tcW w:w="1555" w:type="dxa"/>
          </w:tcPr>
          <w:p w:rsidR="008159EF" w:rsidRDefault="008159EF" w:rsidP="00503F5D">
            <w:pPr>
              <w:jc w:val="center"/>
              <w:rPr>
                <w:lang w:val="en-GB"/>
              </w:rPr>
            </w:pPr>
            <w:r>
              <w:rPr>
                <w:lang w:val="en-GB"/>
              </w:rPr>
              <w:t>2010</w:t>
            </w:r>
          </w:p>
        </w:tc>
        <w:tc>
          <w:tcPr>
            <w:tcW w:w="1555" w:type="dxa"/>
          </w:tcPr>
          <w:p w:rsidR="008159EF" w:rsidRDefault="008159EF" w:rsidP="00503F5D">
            <w:pPr>
              <w:jc w:val="center"/>
              <w:rPr>
                <w:lang w:val="en-GB"/>
              </w:rPr>
            </w:pPr>
            <w:r>
              <w:rPr>
                <w:lang w:val="en-GB"/>
              </w:rPr>
              <w:t>2011</w:t>
            </w:r>
          </w:p>
        </w:tc>
        <w:tc>
          <w:tcPr>
            <w:tcW w:w="1555" w:type="dxa"/>
          </w:tcPr>
          <w:p w:rsidR="008159EF" w:rsidRDefault="008159EF" w:rsidP="00503F5D">
            <w:pPr>
              <w:jc w:val="center"/>
              <w:rPr>
                <w:lang w:val="en-GB"/>
              </w:rPr>
            </w:pPr>
            <w:r w:rsidRPr="00E04A13">
              <w:rPr>
                <w:lang w:val="en-GB"/>
              </w:rPr>
              <w:t>200</w:t>
            </w:r>
            <w:r w:rsidR="009665BB">
              <w:rPr>
                <w:lang w:val="en-GB"/>
              </w:rPr>
              <w:t>8</w:t>
            </w:r>
            <w:r w:rsidRPr="00E04A13">
              <w:rPr>
                <w:lang w:val="en-GB"/>
              </w:rPr>
              <w:t>-2011</w:t>
            </w:r>
          </w:p>
        </w:tc>
      </w:tr>
      <w:tr w:rsidR="008159EF">
        <w:trPr>
          <w:trHeight w:val="531"/>
        </w:trPr>
        <w:tc>
          <w:tcPr>
            <w:tcW w:w="1548" w:type="dxa"/>
          </w:tcPr>
          <w:p w:rsidR="008159EF" w:rsidRDefault="008159EF" w:rsidP="00F00CF2">
            <w:pPr>
              <w:rPr>
                <w:lang w:val="en-GB"/>
              </w:rPr>
            </w:pPr>
            <w:r>
              <w:rPr>
                <w:lang w:val="en-GB"/>
              </w:rPr>
              <w:t>LCEGS</w:t>
            </w:r>
          </w:p>
        </w:tc>
        <w:tc>
          <w:tcPr>
            <w:tcW w:w="1554" w:type="dxa"/>
          </w:tcPr>
          <w:p w:rsidR="008159EF" w:rsidRPr="008159EF" w:rsidRDefault="008159EF" w:rsidP="008159EF">
            <w:r w:rsidRPr="008159EF">
              <w:t>2.1%</w:t>
            </w:r>
          </w:p>
        </w:tc>
        <w:tc>
          <w:tcPr>
            <w:tcW w:w="1555" w:type="dxa"/>
          </w:tcPr>
          <w:p w:rsidR="008159EF" w:rsidRPr="008159EF" w:rsidRDefault="008159EF" w:rsidP="008159EF">
            <w:r w:rsidRPr="008159EF">
              <w:t>2.1%</w:t>
            </w:r>
          </w:p>
        </w:tc>
        <w:tc>
          <w:tcPr>
            <w:tcW w:w="1555" w:type="dxa"/>
          </w:tcPr>
          <w:p w:rsidR="008159EF" w:rsidRPr="008159EF" w:rsidRDefault="008159EF" w:rsidP="008159EF">
            <w:r w:rsidRPr="008159EF">
              <w:t>2.4%</w:t>
            </w:r>
          </w:p>
        </w:tc>
        <w:tc>
          <w:tcPr>
            <w:tcW w:w="1555" w:type="dxa"/>
          </w:tcPr>
          <w:p w:rsidR="008159EF" w:rsidRPr="008159EF" w:rsidRDefault="008159EF" w:rsidP="008159EF">
            <w:r w:rsidRPr="008159EF">
              <w:t>2.5%</w:t>
            </w:r>
          </w:p>
        </w:tc>
        <w:tc>
          <w:tcPr>
            <w:tcW w:w="1555" w:type="dxa"/>
          </w:tcPr>
          <w:p w:rsidR="008159EF" w:rsidRDefault="008159EF">
            <w:r w:rsidRPr="00E04A13">
              <w:rPr>
                <w:lang w:val="en-GB"/>
              </w:rPr>
              <w:t>9.</w:t>
            </w:r>
            <w:r w:rsidR="00B746F6">
              <w:rPr>
                <w:lang w:val="en-GB"/>
              </w:rPr>
              <w:t>4</w:t>
            </w:r>
            <w:r w:rsidRPr="00E04A13">
              <w:rPr>
                <w:lang w:val="en-GB"/>
              </w:rPr>
              <w:t>%</w:t>
            </w:r>
          </w:p>
        </w:tc>
      </w:tr>
      <w:tr w:rsidR="008159EF">
        <w:trPr>
          <w:trHeight w:val="532"/>
        </w:trPr>
        <w:tc>
          <w:tcPr>
            <w:tcW w:w="1548" w:type="dxa"/>
          </w:tcPr>
          <w:p w:rsidR="008159EF" w:rsidRDefault="008159EF" w:rsidP="00F00CF2">
            <w:pPr>
              <w:rPr>
                <w:lang w:val="en-GB"/>
              </w:rPr>
            </w:pPr>
            <w:r>
              <w:rPr>
                <w:lang w:val="en-GB"/>
              </w:rPr>
              <w:t>GDP</w:t>
            </w:r>
          </w:p>
        </w:tc>
        <w:tc>
          <w:tcPr>
            <w:tcW w:w="1554" w:type="dxa"/>
            <w:vAlign w:val="center"/>
          </w:tcPr>
          <w:p w:rsidR="008159EF" w:rsidRDefault="009665BB" w:rsidP="008159EF">
            <w:pPr>
              <w:rPr>
                <w:rFonts w:ascii="Times" w:hAnsi="Times"/>
              </w:rPr>
            </w:pPr>
            <w:r>
              <w:t>1.3</w:t>
            </w:r>
            <w:r w:rsidR="008159EF">
              <w:t>%</w:t>
            </w:r>
          </w:p>
        </w:tc>
        <w:tc>
          <w:tcPr>
            <w:tcW w:w="1555" w:type="dxa"/>
            <w:vAlign w:val="center"/>
          </w:tcPr>
          <w:p w:rsidR="008159EF" w:rsidRDefault="008159EF" w:rsidP="008159EF">
            <w:pPr>
              <w:rPr>
                <w:rFonts w:ascii="Times" w:hAnsi="Times"/>
              </w:rPr>
            </w:pPr>
            <w:r>
              <w:t>-</w:t>
            </w:r>
            <w:r w:rsidR="009665BB">
              <w:t>3</w:t>
            </w:r>
            <w:r>
              <w:t>.5 %</w:t>
            </w:r>
          </w:p>
        </w:tc>
        <w:tc>
          <w:tcPr>
            <w:tcW w:w="1555" w:type="dxa"/>
            <w:vAlign w:val="center"/>
          </w:tcPr>
          <w:p w:rsidR="008159EF" w:rsidRDefault="009665BB" w:rsidP="008159EF">
            <w:pPr>
              <w:rPr>
                <w:rFonts w:ascii="Times" w:hAnsi="Times"/>
              </w:rPr>
            </w:pPr>
            <w:r>
              <w:t>2.1</w:t>
            </w:r>
            <w:r w:rsidR="008159EF">
              <w:t>% </w:t>
            </w:r>
          </w:p>
        </w:tc>
        <w:tc>
          <w:tcPr>
            <w:tcW w:w="1555" w:type="dxa"/>
            <w:vAlign w:val="center"/>
          </w:tcPr>
          <w:p w:rsidR="008159EF" w:rsidRDefault="009665BB" w:rsidP="009665BB">
            <w:pPr>
              <w:rPr>
                <w:rFonts w:ascii="Times" w:hAnsi="Times"/>
              </w:rPr>
            </w:pPr>
            <w:r>
              <w:t>-</w:t>
            </w:r>
            <w:r w:rsidR="008159EF">
              <w:t>0.</w:t>
            </w:r>
            <w:r>
              <w:t>8</w:t>
            </w:r>
            <w:r w:rsidR="008159EF">
              <w:t>%</w:t>
            </w:r>
          </w:p>
        </w:tc>
        <w:tc>
          <w:tcPr>
            <w:tcW w:w="1555" w:type="dxa"/>
          </w:tcPr>
          <w:p w:rsidR="008159EF" w:rsidRPr="00E04A13" w:rsidRDefault="008159EF" w:rsidP="009665BB">
            <w:pPr>
              <w:rPr>
                <w:rFonts w:eastAsia="Times New Roman" w:cs="Arial"/>
                <w:sz w:val="20"/>
                <w:szCs w:val="20"/>
                <w:lang w:val="en-GB"/>
              </w:rPr>
            </w:pPr>
            <w:r w:rsidRPr="00E04A13">
              <w:rPr>
                <w:lang w:val="en-GB"/>
              </w:rPr>
              <w:t>-</w:t>
            </w:r>
            <w:r w:rsidR="009665BB">
              <w:rPr>
                <w:lang w:val="en-GB"/>
              </w:rPr>
              <w:t>1.0</w:t>
            </w:r>
            <w:r w:rsidRPr="00E04A13">
              <w:rPr>
                <w:lang w:val="en-GB"/>
              </w:rPr>
              <w:t>%</w:t>
            </w:r>
          </w:p>
        </w:tc>
      </w:tr>
    </w:tbl>
    <w:p w:rsidR="00B85243" w:rsidRPr="00E04A13" w:rsidRDefault="00B85243" w:rsidP="00D7553F">
      <w:pPr>
        <w:pStyle w:val="Caption"/>
        <w:rPr>
          <w:lang w:val="en-GB"/>
        </w:rPr>
      </w:pPr>
      <w:bookmarkStart w:id="33" w:name="_Toc252202025"/>
      <w:r w:rsidRPr="00E04A13">
        <w:rPr>
          <w:lang w:val="en-GB"/>
        </w:rPr>
        <w:t xml:space="preserve">Table </w:t>
      </w:r>
      <w:r w:rsidR="00EA4FE5" w:rsidRPr="00E04A13">
        <w:rPr>
          <w:lang w:val="en-GB"/>
        </w:rPr>
        <w:fldChar w:fldCharType="begin"/>
      </w:r>
      <w:r w:rsidRPr="00E04A13">
        <w:rPr>
          <w:lang w:val="en-GB"/>
        </w:rPr>
        <w:instrText xml:space="preserve"> SEQ Table \* ARABIC </w:instrText>
      </w:r>
      <w:r w:rsidR="00EA4FE5" w:rsidRPr="00E04A13">
        <w:rPr>
          <w:lang w:val="en-GB"/>
        </w:rPr>
        <w:fldChar w:fldCharType="separate"/>
      </w:r>
      <w:r w:rsidR="00503F5D">
        <w:rPr>
          <w:noProof/>
          <w:lang w:val="en-GB"/>
        </w:rPr>
        <w:t>6</w:t>
      </w:r>
      <w:r w:rsidR="00EA4FE5" w:rsidRPr="00E04A13">
        <w:rPr>
          <w:lang w:val="en-GB"/>
        </w:rPr>
        <w:fldChar w:fldCharType="end"/>
      </w:r>
      <w:r w:rsidRPr="00E04A13">
        <w:rPr>
          <w:lang w:val="en-GB"/>
        </w:rPr>
        <w:t xml:space="preserve">: </w:t>
      </w:r>
      <w:r w:rsidR="00C41B78">
        <w:rPr>
          <w:lang w:val="en-GB"/>
        </w:rPr>
        <w:t>Nominal g</w:t>
      </w:r>
      <w:r w:rsidRPr="00E04A13">
        <w:rPr>
          <w:lang w:val="en-GB"/>
        </w:rPr>
        <w:t xml:space="preserve">rowth rates </w:t>
      </w:r>
      <w:r w:rsidR="00072352" w:rsidRPr="00E04A13">
        <w:rPr>
          <w:lang w:val="en-GB"/>
        </w:rPr>
        <w:t>in LCEGS and GDP for</w:t>
      </w:r>
      <w:r w:rsidR="00503F5D">
        <w:rPr>
          <w:lang w:val="en-GB"/>
        </w:rPr>
        <w:t xml:space="preserve"> Italy, 2008</w:t>
      </w:r>
      <w:r w:rsidRPr="00E04A13">
        <w:rPr>
          <w:lang w:val="en-GB"/>
        </w:rPr>
        <w:t>-2011</w:t>
      </w:r>
      <w:bookmarkEnd w:id="33"/>
    </w:p>
    <w:p w:rsidR="00F00CF2" w:rsidRPr="00E04A13" w:rsidRDefault="00F00CF2" w:rsidP="00F00CF2">
      <w:pPr>
        <w:pStyle w:val="Heading3"/>
        <w:spacing w:before="360"/>
        <w:rPr>
          <w:lang w:val="en-GB"/>
        </w:rPr>
      </w:pPr>
      <w:bookmarkStart w:id="34" w:name="_Toc251626643"/>
      <w:r w:rsidRPr="00E04A13">
        <w:rPr>
          <w:lang w:val="en-GB"/>
        </w:rPr>
        <w:t>Poland</w:t>
      </w:r>
      <w:bookmarkEnd w:id="34"/>
    </w:p>
    <w:p w:rsidR="00F00CF2" w:rsidRPr="00E04A13" w:rsidRDefault="00A22513" w:rsidP="00F00CF2">
      <w:pPr>
        <w:rPr>
          <w:lang w:val="en-GB"/>
        </w:rPr>
      </w:pPr>
      <w:r w:rsidRPr="00E04A13">
        <w:rPr>
          <w:lang w:val="en-GB"/>
        </w:rPr>
        <w:t xml:space="preserve">Economic growth in Poland has been comparatively high in recent years. Poland’s economy did not </w:t>
      </w:r>
      <w:r w:rsidR="00B33059" w:rsidRPr="00E04A13">
        <w:rPr>
          <w:lang w:val="en-GB"/>
        </w:rPr>
        <w:t>enter into</w:t>
      </w:r>
      <w:r w:rsidRPr="00E04A13">
        <w:rPr>
          <w:lang w:val="en-GB"/>
        </w:rPr>
        <w:t xml:space="preserve"> recession in 2008/09 and </w:t>
      </w:r>
      <w:r w:rsidR="00CB375A" w:rsidRPr="00E04A13">
        <w:rPr>
          <w:lang w:val="en-GB"/>
        </w:rPr>
        <w:t xml:space="preserve">has </w:t>
      </w:r>
      <w:r w:rsidRPr="00E04A13">
        <w:rPr>
          <w:lang w:val="en-GB"/>
        </w:rPr>
        <w:t>gr</w:t>
      </w:r>
      <w:r w:rsidR="00CB375A" w:rsidRPr="00E04A13">
        <w:rPr>
          <w:lang w:val="en-GB"/>
        </w:rPr>
        <w:t>o</w:t>
      </w:r>
      <w:r w:rsidRPr="00E04A13">
        <w:rPr>
          <w:lang w:val="en-GB"/>
        </w:rPr>
        <w:t>w</w:t>
      </w:r>
      <w:r w:rsidR="00CB375A" w:rsidRPr="00E04A13">
        <w:rPr>
          <w:lang w:val="en-GB"/>
        </w:rPr>
        <w:t>n</w:t>
      </w:r>
      <w:r w:rsidRPr="00E04A13">
        <w:rPr>
          <w:lang w:val="en-GB"/>
        </w:rPr>
        <w:t xml:space="preserve"> </w:t>
      </w:r>
      <w:r w:rsidR="00CB375A" w:rsidRPr="00E04A13">
        <w:rPr>
          <w:lang w:val="en-GB"/>
        </w:rPr>
        <w:t xml:space="preserve">at a </w:t>
      </w:r>
      <w:r w:rsidRPr="00E04A13">
        <w:rPr>
          <w:lang w:val="en-GB"/>
        </w:rPr>
        <w:t xml:space="preserve">stable </w:t>
      </w:r>
      <w:r w:rsidR="00CB375A" w:rsidRPr="00E04A13">
        <w:rPr>
          <w:lang w:val="en-GB"/>
        </w:rPr>
        <w:t xml:space="preserve">rate </w:t>
      </w:r>
      <w:r w:rsidRPr="00E04A13">
        <w:rPr>
          <w:lang w:val="en-GB"/>
        </w:rPr>
        <w:t>since</w:t>
      </w:r>
      <w:r w:rsidR="00B33059" w:rsidRPr="00E04A13">
        <w:rPr>
          <w:lang w:val="en-GB"/>
        </w:rPr>
        <w:t>.</w:t>
      </w:r>
      <w:r w:rsidRPr="00E04A13">
        <w:rPr>
          <w:lang w:val="en-GB"/>
        </w:rPr>
        <w:t xml:space="preserve"> Important reasons for this were more efficient regulation of banks, meaning Poland did not </w:t>
      </w:r>
      <w:r w:rsidR="00B33059" w:rsidRPr="00E04A13">
        <w:rPr>
          <w:lang w:val="en-GB"/>
        </w:rPr>
        <w:t>face a banking crisis</w:t>
      </w:r>
      <w:r w:rsidRPr="00E04A13">
        <w:rPr>
          <w:lang w:val="en-GB"/>
        </w:rPr>
        <w:t xml:space="preserve">, and also a substantial program of </w:t>
      </w:r>
      <w:r w:rsidR="00B33059" w:rsidRPr="00E04A13">
        <w:rPr>
          <w:lang w:val="en-GB"/>
        </w:rPr>
        <w:t xml:space="preserve">infrastructure </w:t>
      </w:r>
      <w:r w:rsidRPr="00E04A13">
        <w:rPr>
          <w:lang w:val="en-GB"/>
        </w:rPr>
        <w:t>investment</w:t>
      </w:r>
      <w:r w:rsidR="00CB375A" w:rsidRPr="00E04A13">
        <w:rPr>
          <w:lang w:val="en-GB"/>
        </w:rPr>
        <w:t>,</w:t>
      </w:r>
      <w:r w:rsidRPr="00E04A13">
        <w:rPr>
          <w:lang w:val="en-GB"/>
        </w:rPr>
        <w:t xml:space="preserve"> which helped economic growth in the short and in the long term. Poland has becom</w:t>
      </w:r>
      <w:r w:rsidR="006656EE" w:rsidRPr="00E04A13">
        <w:rPr>
          <w:lang w:val="en-GB"/>
        </w:rPr>
        <w:t>e an important manufacturing location</w:t>
      </w:r>
      <w:r w:rsidR="00CB375A" w:rsidRPr="00E04A13">
        <w:rPr>
          <w:lang w:val="en-GB"/>
        </w:rPr>
        <w:t xml:space="preserve"> regionally</w:t>
      </w:r>
      <w:r w:rsidR="00B33059" w:rsidRPr="00E04A13">
        <w:rPr>
          <w:lang w:val="en-GB"/>
        </w:rPr>
        <w:t>, a development that was boosted by its EU accession in 2004</w:t>
      </w:r>
      <w:r w:rsidR="00CB375A" w:rsidRPr="00E04A13">
        <w:rPr>
          <w:lang w:val="en-GB"/>
        </w:rPr>
        <w:t xml:space="preserve">. Poland </w:t>
      </w:r>
      <w:r w:rsidRPr="00E04A13">
        <w:rPr>
          <w:lang w:val="en-GB"/>
        </w:rPr>
        <w:t>very often also</w:t>
      </w:r>
      <w:r w:rsidR="006656EE" w:rsidRPr="00E04A13">
        <w:rPr>
          <w:lang w:val="en-GB"/>
        </w:rPr>
        <w:t xml:space="preserve"> </w:t>
      </w:r>
      <w:r w:rsidR="00CB375A" w:rsidRPr="00E04A13">
        <w:rPr>
          <w:lang w:val="en-GB"/>
        </w:rPr>
        <w:t xml:space="preserve">captures the complete </w:t>
      </w:r>
      <w:r w:rsidR="006656EE" w:rsidRPr="00E04A13">
        <w:rPr>
          <w:lang w:val="en-GB"/>
        </w:rPr>
        <w:t xml:space="preserve">manufacturing </w:t>
      </w:r>
      <w:r w:rsidR="00CB375A" w:rsidRPr="00E04A13">
        <w:rPr>
          <w:lang w:val="en-GB"/>
        </w:rPr>
        <w:t>value chain</w:t>
      </w:r>
      <w:r w:rsidR="006656EE" w:rsidRPr="00E04A13">
        <w:rPr>
          <w:lang w:val="en-GB"/>
        </w:rPr>
        <w:t xml:space="preserve">. </w:t>
      </w:r>
    </w:p>
    <w:p w:rsidR="006656EE" w:rsidRPr="00E04A13" w:rsidRDefault="006656EE" w:rsidP="00F00CF2">
      <w:pPr>
        <w:rPr>
          <w:lang w:val="en-GB"/>
        </w:rPr>
      </w:pPr>
      <w:r w:rsidRPr="00E04A13">
        <w:rPr>
          <w:lang w:val="en-GB"/>
        </w:rPr>
        <w:t xml:space="preserve">Due to the relative benign economic climate, Poland did not </w:t>
      </w:r>
      <w:r w:rsidR="00F43482" w:rsidRPr="00E04A13">
        <w:rPr>
          <w:lang w:val="en-GB"/>
        </w:rPr>
        <w:t xml:space="preserve">enact a large stimulus package. Further, </w:t>
      </w:r>
      <w:r w:rsidRPr="00E04A13">
        <w:rPr>
          <w:lang w:val="en-GB"/>
        </w:rPr>
        <w:t>public investment</w:t>
      </w:r>
      <w:r w:rsidR="00F43482" w:rsidRPr="00E04A13">
        <w:rPr>
          <w:lang w:val="en-GB"/>
        </w:rPr>
        <w:t>,</w:t>
      </w:r>
      <w:r w:rsidRPr="00E04A13">
        <w:rPr>
          <w:lang w:val="en-GB"/>
        </w:rPr>
        <w:t xml:space="preserve"> helped by EU structural funds</w:t>
      </w:r>
      <w:r w:rsidR="00F43482" w:rsidRPr="00E04A13">
        <w:rPr>
          <w:lang w:val="en-GB"/>
        </w:rPr>
        <w:t>,</w:t>
      </w:r>
      <w:r w:rsidRPr="00E04A13">
        <w:rPr>
          <w:lang w:val="en-GB"/>
        </w:rPr>
        <w:t xml:space="preserve"> was high in the respective period</w:t>
      </w:r>
      <w:r w:rsidR="00B33059" w:rsidRPr="00E04A13">
        <w:rPr>
          <w:lang w:val="en-GB"/>
        </w:rPr>
        <w:t>,</w:t>
      </w:r>
      <w:r w:rsidR="00F43482" w:rsidRPr="00E04A13">
        <w:rPr>
          <w:lang w:val="en-GB"/>
        </w:rPr>
        <w:t xml:space="preserve"> underpinning growth</w:t>
      </w:r>
      <w:r w:rsidRPr="00E04A13">
        <w:rPr>
          <w:lang w:val="en-GB"/>
        </w:rPr>
        <w:t xml:space="preserve">. </w:t>
      </w:r>
    </w:p>
    <w:p w:rsidR="00A22513" w:rsidRPr="00E04A13" w:rsidRDefault="006656EE" w:rsidP="00F00CF2">
      <w:pPr>
        <w:rPr>
          <w:lang w:val="en-GB"/>
        </w:rPr>
      </w:pPr>
      <w:r w:rsidRPr="00E04A13">
        <w:rPr>
          <w:lang w:val="en-GB"/>
        </w:rPr>
        <w:t xml:space="preserve">The estimates provided by the </w:t>
      </w:r>
      <w:r w:rsidR="00F43482" w:rsidRPr="00E04A13">
        <w:rPr>
          <w:lang w:val="en-GB"/>
        </w:rPr>
        <w:t>BIS studies</w:t>
      </w:r>
      <w:r w:rsidR="0038791E" w:rsidRPr="00E04A13">
        <w:rPr>
          <w:lang w:val="en-GB"/>
        </w:rPr>
        <w:t xml:space="preserve"> </w:t>
      </w:r>
      <w:r w:rsidR="00F43482" w:rsidRPr="00E04A13">
        <w:rPr>
          <w:lang w:val="en-GB"/>
        </w:rPr>
        <w:t xml:space="preserve">reports that </w:t>
      </w:r>
      <w:r w:rsidR="0038791E" w:rsidRPr="00E04A13">
        <w:rPr>
          <w:lang w:val="en-GB"/>
        </w:rPr>
        <w:t>Polish Eco-</w:t>
      </w:r>
      <w:r w:rsidR="007F1B9B">
        <w:rPr>
          <w:lang w:val="en-GB"/>
        </w:rPr>
        <w:t>I</w:t>
      </w:r>
      <w:r w:rsidR="0038791E" w:rsidRPr="00E04A13">
        <w:rPr>
          <w:lang w:val="en-GB"/>
        </w:rPr>
        <w:t xml:space="preserve">ndustries </w:t>
      </w:r>
      <w:r w:rsidR="00F43482" w:rsidRPr="00E04A13">
        <w:rPr>
          <w:lang w:val="en-GB"/>
        </w:rPr>
        <w:t>grew</w:t>
      </w:r>
      <w:r w:rsidR="0038791E" w:rsidRPr="00E04A13">
        <w:rPr>
          <w:lang w:val="en-GB"/>
        </w:rPr>
        <w:t xml:space="preserve"> strongly in the last five years. </w:t>
      </w:r>
      <w:r w:rsidR="00514DC1" w:rsidRPr="00E04A13">
        <w:rPr>
          <w:lang w:val="en-GB"/>
        </w:rPr>
        <w:t>This was at the first glance a surprising result, as</w:t>
      </w:r>
      <w:r w:rsidR="00B33059" w:rsidRPr="00E04A13">
        <w:rPr>
          <w:lang w:val="en-GB"/>
        </w:rPr>
        <w:t xml:space="preserve"> Poland would generally not be expected at the forefront of green economies in Europe; for instance,</w:t>
      </w:r>
      <w:r w:rsidR="00514DC1" w:rsidRPr="00E04A13">
        <w:rPr>
          <w:lang w:val="en-GB"/>
        </w:rPr>
        <w:t xml:space="preserve"> the </w:t>
      </w:r>
      <w:r w:rsidR="00B33059" w:rsidRPr="00E04A13">
        <w:rPr>
          <w:lang w:val="en-GB"/>
        </w:rPr>
        <w:t xml:space="preserve">European </w:t>
      </w:r>
      <w:r w:rsidR="00212862" w:rsidRPr="00E04A13">
        <w:rPr>
          <w:lang w:val="en-GB"/>
        </w:rPr>
        <w:t>E</w:t>
      </w:r>
      <w:r w:rsidR="00514DC1" w:rsidRPr="00E04A13">
        <w:rPr>
          <w:lang w:val="en-GB"/>
        </w:rPr>
        <w:t>co-</w:t>
      </w:r>
      <w:r w:rsidR="00212862" w:rsidRPr="00E04A13">
        <w:rPr>
          <w:lang w:val="en-GB"/>
        </w:rPr>
        <w:t>I</w:t>
      </w:r>
      <w:r w:rsidR="00514DC1" w:rsidRPr="00E04A13">
        <w:rPr>
          <w:lang w:val="en-GB"/>
        </w:rPr>
        <w:t xml:space="preserve">nnovation </w:t>
      </w:r>
      <w:r w:rsidR="00212862" w:rsidRPr="00E04A13">
        <w:rPr>
          <w:lang w:val="en-GB"/>
        </w:rPr>
        <w:t>I</w:t>
      </w:r>
      <w:r w:rsidR="00514DC1" w:rsidRPr="00E04A13">
        <w:rPr>
          <w:lang w:val="en-GB"/>
        </w:rPr>
        <w:t>ndex rank</w:t>
      </w:r>
      <w:r w:rsidR="00B33059" w:rsidRPr="00E04A13">
        <w:rPr>
          <w:lang w:val="en-GB"/>
        </w:rPr>
        <w:t>s</w:t>
      </w:r>
      <w:r w:rsidR="00514DC1" w:rsidRPr="00E04A13">
        <w:rPr>
          <w:lang w:val="en-GB"/>
        </w:rPr>
        <w:t xml:space="preserve"> Poland bottom for its eco-innovation capacity. Looking at </w:t>
      </w:r>
      <w:r w:rsidR="00F43482" w:rsidRPr="00E04A13">
        <w:rPr>
          <w:lang w:val="en-GB"/>
        </w:rPr>
        <w:t xml:space="preserve">the results </w:t>
      </w:r>
      <w:r w:rsidR="00514DC1" w:rsidRPr="00E04A13">
        <w:rPr>
          <w:lang w:val="en-GB"/>
        </w:rPr>
        <w:t>more closely</w:t>
      </w:r>
      <w:r w:rsidR="00F43482" w:rsidRPr="00E04A13">
        <w:rPr>
          <w:lang w:val="en-GB"/>
        </w:rPr>
        <w:t>,</w:t>
      </w:r>
      <w:r w:rsidR="00514DC1" w:rsidRPr="00E04A13">
        <w:rPr>
          <w:lang w:val="en-GB"/>
        </w:rPr>
        <w:t xml:space="preserve"> nonetheless</w:t>
      </w:r>
      <w:r w:rsidR="00F43482" w:rsidRPr="00E04A13">
        <w:rPr>
          <w:lang w:val="en-GB"/>
        </w:rPr>
        <w:t>,</w:t>
      </w:r>
      <w:r w:rsidR="00514DC1" w:rsidRPr="00E04A13">
        <w:rPr>
          <w:lang w:val="en-GB"/>
        </w:rPr>
        <w:t xml:space="preserve"> </w:t>
      </w:r>
      <w:r w:rsidR="00B33059" w:rsidRPr="00E04A13">
        <w:rPr>
          <w:lang w:val="en-GB"/>
        </w:rPr>
        <w:t xml:space="preserve">there are several factors that can explain </w:t>
      </w:r>
      <w:r w:rsidR="00514DC1" w:rsidRPr="00E04A13">
        <w:rPr>
          <w:lang w:val="en-GB"/>
        </w:rPr>
        <w:t>the strong growth of the Polish Eco-</w:t>
      </w:r>
      <w:r w:rsidR="007F1B9B">
        <w:rPr>
          <w:lang w:val="en-GB"/>
        </w:rPr>
        <w:t>I</w:t>
      </w:r>
      <w:r w:rsidR="00514DC1" w:rsidRPr="00E04A13">
        <w:rPr>
          <w:lang w:val="en-GB"/>
        </w:rPr>
        <w:t xml:space="preserve">ndustries: </w:t>
      </w:r>
    </w:p>
    <w:p w:rsidR="00514DC1" w:rsidRPr="00E04A13" w:rsidRDefault="00514DC1" w:rsidP="00503F5D">
      <w:pPr>
        <w:pStyle w:val="ListBullet"/>
        <w:rPr>
          <w:lang w:val="en-GB"/>
        </w:rPr>
      </w:pPr>
      <w:r w:rsidRPr="00E04A13">
        <w:rPr>
          <w:lang w:val="en-GB"/>
        </w:rPr>
        <w:t>Renewable energy production increased strongly in Poland in recent years although from a low base. In 2011 9%</w:t>
      </w:r>
      <w:r w:rsidR="009051E6" w:rsidRPr="00E04A13">
        <w:rPr>
          <w:rStyle w:val="FootnoteReference"/>
          <w:lang w:val="en-GB"/>
        </w:rPr>
        <w:footnoteReference w:id="27"/>
      </w:r>
      <w:r w:rsidRPr="00E04A13">
        <w:rPr>
          <w:lang w:val="en-GB"/>
        </w:rPr>
        <w:t xml:space="preserve"> of energy generation was from renewable energy sources</w:t>
      </w:r>
      <w:r w:rsidR="00BE7E88" w:rsidRPr="00E04A13">
        <w:rPr>
          <w:lang w:val="en-GB"/>
        </w:rPr>
        <w:t xml:space="preserve"> – a tripling</w:t>
      </w:r>
      <w:r w:rsidRPr="00E04A13">
        <w:rPr>
          <w:lang w:val="en-GB"/>
        </w:rPr>
        <w:t xml:space="preserve"> </w:t>
      </w:r>
      <w:r w:rsidR="00BE7E88" w:rsidRPr="00E04A13">
        <w:rPr>
          <w:lang w:val="en-GB"/>
        </w:rPr>
        <w:t>in only six years</w:t>
      </w:r>
      <w:r w:rsidRPr="00E04A13">
        <w:rPr>
          <w:lang w:val="en-GB"/>
        </w:rPr>
        <w:t xml:space="preserve">. As the German manufacturing sector and the Polish manufacturing sectors are </w:t>
      </w:r>
      <w:r w:rsidR="00F43482" w:rsidRPr="00E04A13">
        <w:rPr>
          <w:lang w:val="en-GB"/>
        </w:rPr>
        <w:t xml:space="preserve">tightly </w:t>
      </w:r>
      <w:r w:rsidRPr="00E04A13">
        <w:rPr>
          <w:lang w:val="en-GB"/>
        </w:rPr>
        <w:t xml:space="preserve">interlinked, it is also </w:t>
      </w:r>
      <w:r w:rsidR="00F43482" w:rsidRPr="00E04A13">
        <w:rPr>
          <w:lang w:val="en-GB"/>
        </w:rPr>
        <w:t xml:space="preserve">reasonable </w:t>
      </w:r>
      <w:r w:rsidRPr="00E04A13">
        <w:rPr>
          <w:lang w:val="en-GB"/>
        </w:rPr>
        <w:t xml:space="preserve">to assume that Polish </w:t>
      </w:r>
      <w:r w:rsidR="00BE7E88" w:rsidRPr="00E04A13">
        <w:rPr>
          <w:lang w:val="en-GB"/>
        </w:rPr>
        <w:t>suppliers of intermediate products</w:t>
      </w:r>
      <w:r w:rsidRPr="00E04A13">
        <w:rPr>
          <w:lang w:val="en-GB"/>
        </w:rPr>
        <w:t xml:space="preserve"> benefited from the boom in renewable energy production in Germany. Overall </w:t>
      </w:r>
      <w:r w:rsidR="00E41421" w:rsidRPr="00E04A13">
        <w:rPr>
          <w:lang w:val="en-GB"/>
        </w:rPr>
        <w:t xml:space="preserve">the sector employs </w:t>
      </w:r>
      <w:r w:rsidRPr="00E04A13">
        <w:rPr>
          <w:lang w:val="en-GB"/>
        </w:rPr>
        <w:t>about 20</w:t>
      </w:r>
      <w:r w:rsidR="00F43482" w:rsidRPr="00E04A13">
        <w:rPr>
          <w:lang w:val="en-GB"/>
        </w:rPr>
        <w:t>,</w:t>
      </w:r>
      <w:r w:rsidRPr="00E04A13">
        <w:rPr>
          <w:lang w:val="en-GB"/>
        </w:rPr>
        <w:t>000 people</w:t>
      </w:r>
      <w:r w:rsidR="00F43482" w:rsidRPr="00E04A13">
        <w:rPr>
          <w:lang w:val="en-GB"/>
        </w:rPr>
        <w:t xml:space="preserve"> in Poland</w:t>
      </w:r>
      <w:r w:rsidR="00E41421" w:rsidRPr="00E04A13">
        <w:rPr>
          <w:lang w:val="en-GB"/>
        </w:rPr>
        <w:t xml:space="preserve">. </w:t>
      </w:r>
    </w:p>
    <w:p w:rsidR="00E41421" w:rsidRPr="00E04A13" w:rsidRDefault="00E41421" w:rsidP="00503F5D">
      <w:pPr>
        <w:pStyle w:val="ListBullet"/>
        <w:rPr>
          <w:lang w:val="en-GB"/>
        </w:rPr>
      </w:pPr>
      <w:r w:rsidRPr="00E04A13">
        <w:rPr>
          <w:lang w:val="en-GB"/>
        </w:rPr>
        <w:t>Water protection and sustainable waste management also developed very dynamically in the respective period. Between 2007</w:t>
      </w:r>
      <w:r w:rsidR="00F43482" w:rsidRPr="00E04A13">
        <w:rPr>
          <w:lang w:val="en-GB"/>
        </w:rPr>
        <w:t xml:space="preserve"> and </w:t>
      </w:r>
      <w:r w:rsidRPr="00E04A13">
        <w:rPr>
          <w:lang w:val="en-GB"/>
        </w:rPr>
        <w:t>2015</w:t>
      </w:r>
      <w:r w:rsidR="009051E6" w:rsidRPr="00E04A13">
        <w:rPr>
          <w:rStyle w:val="FootnoteReference"/>
          <w:lang w:val="en-GB"/>
        </w:rPr>
        <w:footnoteReference w:id="28"/>
      </w:r>
      <w:r w:rsidRPr="00E04A13">
        <w:rPr>
          <w:lang w:val="en-GB"/>
        </w:rPr>
        <w:t xml:space="preserve"> €</w:t>
      </w:r>
      <w:r w:rsidR="00F43482" w:rsidRPr="00E04A13">
        <w:rPr>
          <w:lang w:val="en-GB"/>
        </w:rPr>
        <w:t xml:space="preserve"> </w:t>
      </w:r>
      <w:r w:rsidRPr="00E04A13">
        <w:rPr>
          <w:lang w:val="en-GB"/>
        </w:rPr>
        <w:t xml:space="preserve">7.3 billion will be spend to upgrade sewage treatment in Poland. </w:t>
      </w:r>
      <w:r w:rsidR="00F43482" w:rsidRPr="00E04A13">
        <w:rPr>
          <w:lang w:val="en-GB"/>
        </w:rPr>
        <w:t>Substantial</w:t>
      </w:r>
      <w:r w:rsidRPr="00E04A13">
        <w:rPr>
          <w:lang w:val="en-GB"/>
        </w:rPr>
        <w:t xml:space="preserve"> investments were also conducted in waste infrastructure. </w:t>
      </w:r>
    </w:p>
    <w:p w:rsidR="009665BB" w:rsidRDefault="0073218A" w:rsidP="00E41421">
      <w:pPr>
        <w:rPr>
          <w:lang w:val="en-GB"/>
        </w:rPr>
      </w:pPr>
      <w:r w:rsidRPr="00E04A13">
        <w:rPr>
          <w:lang w:val="en-GB"/>
        </w:rPr>
        <w:t>Many commentators point out that Poland has not yet put together a consisten</w:t>
      </w:r>
      <w:r w:rsidR="00F43482" w:rsidRPr="00E04A13">
        <w:rPr>
          <w:lang w:val="en-GB"/>
        </w:rPr>
        <w:t xml:space="preserve">t </w:t>
      </w:r>
      <w:r w:rsidR="00212862" w:rsidRPr="00E04A13">
        <w:rPr>
          <w:lang w:val="en-GB"/>
        </w:rPr>
        <w:t>set of policies</w:t>
      </w:r>
      <w:r w:rsidRPr="00E04A13">
        <w:rPr>
          <w:lang w:val="en-GB"/>
        </w:rPr>
        <w:t xml:space="preserve"> to support the nurture of Eco-</w:t>
      </w:r>
      <w:r w:rsidR="007F1B9B">
        <w:rPr>
          <w:lang w:val="en-GB"/>
        </w:rPr>
        <w:t>I</w:t>
      </w:r>
      <w:r w:rsidRPr="00E04A13">
        <w:rPr>
          <w:lang w:val="en-GB"/>
        </w:rPr>
        <w:t xml:space="preserve">ndustries. This lack of a strategy is also one reason for </w:t>
      </w:r>
      <w:r w:rsidR="00212862" w:rsidRPr="00E04A13">
        <w:rPr>
          <w:lang w:val="en-GB"/>
        </w:rPr>
        <w:t xml:space="preserve">Poland’s </w:t>
      </w:r>
      <w:r w:rsidRPr="00E04A13">
        <w:rPr>
          <w:lang w:val="en-GB"/>
        </w:rPr>
        <w:t>low scor</w:t>
      </w:r>
      <w:r w:rsidR="00212862" w:rsidRPr="00E04A13">
        <w:rPr>
          <w:lang w:val="en-GB"/>
        </w:rPr>
        <w:t>e</w:t>
      </w:r>
      <w:r w:rsidRPr="00E04A13">
        <w:rPr>
          <w:lang w:val="en-GB"/>
        </w:rPr>
        <w:t xml:space="preserve"> in the Eco-Innovation index. </w:t>
      </w:r>
      <w:r w:rsidR="007E7323">
        <w:rPr>
          <w:lang w:val="en-GB"/>
        </w:rPr>
        <w:t>N</w:t>
      </w:r>
      <w:r w:rsidRPr="00E04A13">
        <w:rPr>
          <w:lang w:val="en-GB"/>
        </w:rPr>
        <w:t>onetheless</w:t>
      </w:r>
      <w:r w:rsidR="007E7323">
        <w:rPr>
          <w:lang w:val="en-GB"/>
        </w:rPr>
        <w:t xml:space="preserve">, </w:t>
      </w:r>
      <w:r w:rsidRPr="00E04A13">
        <w:rPr>
          <w:lang w:val="en-GB"/>
        </w:rPr>
        <w:t>Eco</w:t>
      </w:r>
      <w:r w:rsidR="00212862" w:rsidRPr="00E04A13">
        <w:rPr>
          <w:lang w:val="en-GB"/>
        </w:rPr>
        <w:t>-I</w:t>
      </w:r>
      <w:r w:rsidRPr="00E04A13">
        <w:rPr>
          <w:lang w:val="en-GB"/>
        </w:rPr>
        <w:t>ndustries</w:t>
      </w:r>
      <w:r w:rsidR="007E7323">
        <w:rPr>
          <w:lang w:val="en-GB"/>
        </w:rPr>
        <w:t xml:space="preserve"> in Poland managed to expand </w:t>
      </w:r>
      <w:r w:rsidR="009665BB">
        <w:rPr>
          <w:lang w:val="en-GB"/>
        </w:rPr>
        <w:t>significantly</w:t>
      </w:r>
      <w:r w:rsidR="00BE7E88" w:rsidRPr="00E04A13">
        <w:rPr>
          <w:lang w:val="en-GB"/>
        </w:rPr>
        <w:t>,</w:t>
      </w:r>
      <w:r w:rsidRPr="00E04A13">
        <w:rPr>
          <w:lang w:val="en-GB"/>
        </w:rPr>
        <w:t xml:space="preserve"> </w:t>
      </w:r>
      <w:r w:rsidR="007E7323">
        <w:rPr>
          <w:lang w:val="en-GB"/>
        </w:rPr>
        <w:t xml:space="preserve">and </w:t>
      </w:r>
      <w:r w:rsidR="00212862" w:rsidRPr="00E04A13">
        <w:rPr>
          <w:lang w:val="en-GB"/>
        </w:rPr>
        <w:t xml:space="preserve">currently </w:t>
      </w:r>
      <w:r w:rsidRPr="00E04A13">
        <w:rPr>
          <w:lang w:val="en-GB"/>
        </w:rPr>
        <w:t xml:space="preserve">employ </w:t>
      </w:r>
      <w:r w:rsidR="00212862" w:rsidRPr="00E04A13">
        <w:rPr>
          <w:lang w:val="en-GB"/>
        </w:rPr>
        <w:t>an estimated</w:t>
      </w:r>
      <w:r w:rsidRPr="00E04A13">
        <w:rPr>
          <w:lang w:val="en-GB"/>
        </w:rPr>
        <w:t xml:space="preserve"> 190</w:t>
      </w:r>
      <w:r w:rsidR="00212862" w:rsidRPr="00E04A13">
        <w:rPr>
          <w:lang w:val="en-GB"/>
        </w:rPr>
        <w:t>,</w:t>
      </w:r>
      <w:r w:rsidRPr="00E04A13">
        <w:rPr>
          <w:lang w:val="en-GB"/>
        </w:rPr>
        <w:t>000 people.</w:t>
      </w:r>
      <w:r w:rsidR="00BE7E88" w:rsidRPr="00E04A13">
        <w:rPr>
          <w:rStyle w:val="FootnoteReference"/>
          <w:lang w:val="en-GB"/>
        </w:rPr>
        <w:footnoteReference w:id="29"/>
      </w:r>
      <w:r w:rsidR="007E7323" w:rsidRPr="007E7323">
        <w:rPr>
          <w:lang w:val="en-GB"/>
        </w:rPr>
        <w:t xml:space="preserve"> </w:t>
      </w:r>
      <w:r w:rsidR="009665BB">
        <w:rPr>
          <w:lang w:val="en-GB"/>
        </w:rPr>
        <w:t>Yet, although the overall showing of the Polish LCEGS sector is strong, it is nonetheless remarkable that Poland was the only European country among the eight countries considered where (nominal) GDP growth was stronger than growth in the LCEGS sector (at 28.7 vs. 23.6%, respectively, between 2008 and 2011).</w:t>
      </w:r>
    </w:p>
    <w:p w:rsidR="0073218A" w:rsidRPr="00E04A13" w:rsidRDefault="009665BB" w:rsidP="00E41421">
      <w:pPr>
        <w:rPr>
          <w:lang w:val="en-GB"/>
        </w:rPr>
      </w:pPr>
      <w:r>
        <w:rPr>
          <w:lang w:val="en-GB"/>
        </w:rPr>
        <w:t>I</w:t>
      </w:r>
      <w:r w:rsidR="007E7323">
        <w:rPr>
          <w:lang w:val="en-GB"/>
        </w:rPr>
        <w:t xml:space="preserve">n view of the relatively strong manufacturing sector and export orientation of the Polish economy, more chances for growth in the LCEGS sector could be tapped with a consistent strategy. This is especially true as some of the past growth in LCEGS was due to the </w:t>
      </w:r>
      <w:r w:rsidR="007E7323" w:rsidRPr="00A311A2">
        <w:rPr>
          <w:lang w:val="en-GB"/>
        </w:rPr>
        <w:t xml:space="preserve">EU structural funds </w:t>
      </w:r>
      <w:r w:rsidR="007E7323">
        <w:rPr>
          <w:lang w:val="en-GB"/>
        </w:rPr>
        <w:t>that went into water and waste infrastructure, which will not continue at the same rate in the future as the backlog in environmental infrastructure is being closed.</w:t>
      </w:r>
    </w:p>
    <w:p w:rsidR="007E7323" w:rsidRDefault="00CF1743" w:rsidP="00E41421">
      <w:pPr>
        <w:rPr>
          <w:lang w:val="en-GB"/>
        </w:rPr>
      </w:pPr>
      <w:r w:rsidRPr="00E04A13">
        <w:rPr>
          <w:lang w:val="en-GB"/>
        </w:rPr>
        <w:t>Overall these factors have contrib</w:t>
      </w:r>
      <w:r w:rsidR="00B92221" w:rsidRPr="00E04A13">
        <w:rPr>
          <w:lang w:val="en-GB"/>
        </w:rPr>
        <w:t xml:space="preserve">uted to a strong showing of the LCEGS sector even compared to the strong economic growth experienced by Poland during and after the crisis. During the four years observed, growth in the LECGS was about 50% higher than GDP growth. Again the difference was most relevant in the year 2009 where GDP growth was slow in Poland while LCEGS grew unaffected by the crisis. </w:t>
      </w:r>
    </w:p>
    <w:tbl>
      <w:tblPr>
        <w:tblStyle w:val="TableGrid"/>
        <w:tblW w:w="0" w:type="auto"/>
        <w:tblLook w:val="00BF"/>
      </w:tblPr>
      <w:tblGrid>
        <w:gridCol w:w="1548"/>
        <w:gridCol w:w="1548"/>
        <w:gridCol w:w="1548"/>
        <w:gridCol w:w="1548"/>
        <w:gridCol w:w="1548"/>
        <w:gridCol w:w="1548"/>
      </w:tblGrid>
      <w:tr w:rsidR="007E7323">
        <w:tc>
          <w:tcPr>
            <w:tcW w:w="1548" w:type="dxa"/>
          </w:tcPr>
          <w:p w:rsidR="007E7323" w:rsidRDefault="007E7323" w:rsidP="00E41421">
            <w:pPr>
              <w:rPr>
                <w:lang w:val="en-GB"/>
              </w:rPr>
            </w:pPr>
          </w:p>
        </w:tc>
        <w:tc>
          <w:tcPr>
            <w:tcW w:w="1548" w:type="dxa"/>
          </w:tcPr>
          <w:p w:rsidR="007E7323" w:rsidRPr="00503F5D" w:rsidRDefault="007E7323" w:rsidP="00E41421">
            <w:pPr>
              <w:rPr>
                <w:lang w:val="en-GB"/>
              </w:rPr>
            </w:pPr>
            <w:r w:rsidRPr="00503F5D">
              <w:rPr>
                <w:lang w:val="en-GB"/>
              </w:rPr>
              <w:t>2008</w:t>
            </w:r>
          </w:p>
        </w:tc>
        <w:tc>
          <w:tcPr>
            <w:tcW w:w="1548" w:type="dxa"/>
          </w:tcPr>
          <w:p w:rsidR="007E7323" w:rsidRPr="00503F5D" w:rsidRDefault="007E7323" w:rsidP="00E41421">
            <w:pPr>
              <w:rPr>
                <w:lang w:val="en-GB"/>
              </w:rPr>
            </w:pPr>
            <w:r w:rsidRPr="00503F5D">
              <w:rPr>
                <w:lang w:val="en-GB"/>
              </w:rPr>
              <w:t>2009</w:t>
            </w:r>
          </w:p>
        </w:tc>
        <w:tc>
          <w:tcPr>
            <w:tcW w:w="1548" w:type="dxa"/>
          </w:tcPr>
          <w:p w:rsidR="007E7323" w:rsidRPr="00503F5D" w:rsidRDefault="007E7323" w:rsidP="00E41421">
            <w:pPr>
              <w:rPr>
                <w:lang w:val="en-GB"/>
              </w:rPr>
            </w:pPr>
            <w:r w:rsidRPr="00503F5D">
              <w:rPr>
                <w:lang w:val="en-GB"/>
              </w:rPr>
              <w:t>2010</w:t>
            </w:r>
          </w:p>
        </w:tc>
        <w:tc>
          <w:tcPr>
            <w:tcW w:w="1548" w:type="dxa"/>
          </w:tcPr>
          <w:p w:rsidR="007E7323" w:rsidRPr="00503F5D" w:rsidRDefault="007E7323" w:rsidP="00E41421">
            <w:pPr>
              <w:rPr>
                <w:lang w:val="en-GB"/>
              </w:rPr>
            </w:pPr>
            <w:r w:rsidRPr="00503F5D">
              <w:rPr>
                <w:lang w:val="en-GB"/>
              </w:rPr>
              <w:t>2011</w:t>
            </w:r>
          </w:p>
        </w:tc>
        <w:tc>
          <w:tcPr>
            <w:tcW w:w="1548" w:type="dxa"/>
          </w:tcPr>
          <w:p w:rsidR="007E7323" w:rsidRPr="00503F5D" w:rsidRDefault="00503F5D" w:rsidP="00E41421">
            <w:pPr>
              <w:rPr>
                <w:lang w:val="en-GB"/>
              </w:rPr>
            </w:pPr>
            <w:r w:rsidRPr="00503F5D">
              <w:rPr>
                <w:lang w:val="en-GB"/>
              </w:rPr>
              <w:t>2008</w:t>
            </w:r>
            <w:r w:rsidR="007E7323" w:rsidRPr="00503F5D">
              <w:rPr>
                <w:lang w:val="en-GB"/>
              </w:rPr>
              <w:t>-2011</w:t>
            </w:r>
          </w:p>
        </w:tc>
      </w:tr>
      <w:tr w:rsidR="007E7323">
        <w:tc>
          <w:tcPr>
            <w:tcW w:w="1548" w:type="dxa"/>
          </w:tcPr>
          <w:p w:rsidR="007E7323" w:rsidRDefault="007E7323" w:rsidP="00E41421">
            <w:pPr>
              <w:rPr>
                <w:lang w:val="en-GB"/>
              </w:rPr>
            </w:pPr>
            <w:r w:rsidRPr="0059035E">
              <w:rPr>
                <w:b/>
                <w:lang w:val="en-GB"/>
              </w:rPr>
              <w:t>LCEGS</w:t>
            </w:r>
          </w:p>
        </w:tc>
        <w:tc>
          <w:tcPr>
            <w:tcW w:w="1548" w:type="dxa"/>
          </w:tcPr>
          <w:p w:rsidR="007E7323" w:rsidRPr="00503F5D" w:rsidRDefault="007E7323" w:rsidP="007E7323">
            <w:pPr>
              <w:jc w:val="right"/>
              <w:rPr>
                <w:lang w:val="en-GB"/>
              </w:rPr>
            </w:pPr>
            <w:r w:rsidRPr="00503F5D">
              <w:rPr>
                <w:rFonts w:eastAsia="Times New Roman" w:cs="Arial"/>
                <w:szCs w:val="20"/>
                <w:lang w:val="en-GB"/>
              </w:rPr>
              <w:t>5.1%</w:t>
            </w:r>
          </w:p>
        </w:tc>
        <w:tc>
          <w:tcPr>
            <w:tcW w:w="1548" w:type="dxa"/>
          </w:tcPr>
          <w:p w:rsidR="007E7323" w:rsidRPr="00503F5D" w:rsidRDefault="007E7323" w:rsidP="007E7323">
            <w:pPr>
              <w:jc w:val="right"/>
              <w:rPr>
                <w:lang w:val="en-GB"/>
              </w:rPr>
            </w:pPr>
            <w:r w:rsidRPr="00503F5D">
              <w:rPr>
                <w:rFonts w:eastAsia="Times New Roman" w:cs="Arial"/>
                <w:szCs w:val="20"/>
                <w:lang w:val="en-GB"/>
              </w:rPr>
              <w:t>5.1%</w:t>
            </w:r>
          </w:p>
        </w:tc>
        <w:tc>
          <w:tcPr>
            <w:tcW w:w="1548" w:type="dxa"/>
          </w:tcPr>
          <w:p w:rsidR="007E7323" w:rsidRPr="00503F5D" w:rsidRDefault="007E7323" w:rsidP="007E7323">
            <w:pPr>
              <w:jc w:val="right"/>
              <w:rPr>
                <w:lang w:val="en-GB"/>
              </w:rPr>
            </w:pPr>
            <w:r w:rsidRPr="00503F5D">
              <w:rPr>
                <w:rFonts w:eastAsia="Times New Roman" w:cs="Arial"/>
                <w:szCs w:val="20"/>
                <w:lang w:val="en-GB"/>
              </w:rPr>
              <w:t>5.7%</w:t>
            </w:r>
          </w:p>
        </w:tc>
        <w:tc>
          <w:tcPr>
            <w:tcW w:w="1548" w:type="dxa"/>
          </w:tcPr>
          <w:p w:rsidR="007E7323" w:rsidRPr="00503F5D" w:rsidRDefault="007E7323" w:rsidP="007E7323">
            <w:pPr>
              <w:jc w:val="right"/>
              <w:rPr>
                <w:lang w:val="en-GB"/>
              </w:rPr>
            </w:pPr>
            <w:r w:rsidRPr="00503F5D">
              <w:rPr>
                <w:rFonts w:eastAsia="Times New Roman" w:cs="Arial"/>
                <w:szCs w:val="20"/>
                <w:lang w:val="en-GB"/>
              </w:rPr>
              <w:t>5.7%</w:t>
            </w:r>
          </w:p>
        </w:tc>
        <w:tc>
          <w:tcPr>
            <w:tcW w:w="1548" w:type="dxa"/>
          </w:tcPr>
          <w:p w:rsidR="007E7323" w:rsidRPr="00503F5D" w:rsidRDefault="007E7323" w:rsidP="007E7323">
            <w:pPr>
              <w:jc w:val="right"/>
              <w:rPr>
                <w:lang w:val="en-GB"/>
              </w:rPr>
            </w:pPr>
            <w:r w:rsidRPr="00503F5D">
              <w:rPr>
                <w:rFonts w:eastAsia="Times New Roman" w:cs="Arial"/>
                <w:szCs w:val="20"/>
                <w:lang w:val="en-GB"/>
              </w:rPr>
              <w:t>23.6%</w:t>
            </w:r>
          </w:p>
        </w:tc>
      </w:tr>
      <w:tr w:rsidR="007E7323">
        <w:tc>
          <w:tcPr>
            <w:tcW w:w="1548" w:type="dxa"/>
          </w:tcPr>
          <w:p w:rsidR="007E7323" w:rsidRDefault="007E7323" w:rsidP="00E41421">
            <w:pPr>
              <w:rPr>
                <w:lang w:val="en-GB"/>
              </w:rPr>
            </w:pPr>
            <w:r w:rsidRPr="0059035E">
              <w:rPr>
                <w:b/>
                <w:lang w:val="en-GB"/>
              </w:rPr>
              <w:t>GDP</w:t>
            </w:r>
          </w:p>
        </w:tc>
        <w:tc>
          <w:tcPr>
            <w:tcW w:w="1548" w:type="dxa"/>
          </w:tcPr>
          <w:p w:rsidR="007E7323" w:rsidRPr="00503F5D" w:rsidRDefault="009665BB" w:rsidP="007E7323">
            <w:pPr>
              <w:jc w:val="right"/>
              <w:rPr>
                <w:lang w:val="en-GB"/>
              </w:rPr>
            </w:pPr>
            <w:r w:rsidRPr="00503F5D">
              <w:rPr>
                <w:rFonts w:eastAsia="Times New Roman" w:cs="Arial"/>
                <w:szCs w:val="20"/>
                <w:lang w:val="en-GB"/>
              </w:rPr>
              <w:t>8.4</w:t>
            </w:r>
            <w:r w:rsidR="007E7323" w:rsidRPr="00503F5D">
              <w:rPr>
                <w:rFonts w:eastAsia="Times New Roman" w:cs="Arial"/>
                <w:szCs w:val="20"/>
                <w:lang w:val="en-GB"/>
              </w:rPr>
              <w:t>%</w:t>
            </w:r>
          </w:p>
        </w:tc>
        <w:tc>
          <w:tcPr>
            <w:tcW w:w="1548" w:type="dxa"/>
          </w:tcPr>
          <w:p w:rsidR="007E7323" w:rsidRPr="00503F5D" w:rsidRDefault="009665BB" w:rsidP="007E7323">
            <w:pPr>
              <w:jc w:val="right"/>
              <w:rPr>
                <w:lang w:val="en-GB"/>
              </w:rPr>
            </w:pPr>
            <w:r w:rsidRPr="00503F5D">
              <w:rPr>
                <w:rFonts w:eastAsia="Times New Roman" w:cs="Arial"/>
                <w:szCs w:val="20"/>
                <w:lang w:val="en-GB"/>
              </w:rPr>
              <w:t>5.4</w:t>
            </w:r>
            <w:r w:rsidR="007E7323" w:rsidRPr="00503F5D">
              <w:rPr>
                <w:rFonts w:eastAsia="Times New Roman" w:cs="Arial"/>
                <w:szCs w:val="20"/>
                <w:lang w:val="en-GB"/>
              </w:rPr>
              <w:t>%</w:t>
            </w:r>
          </w:p>
        </w:tc>
        <w:tc>
          <w:tcPr>
            <w:tcW w:w="1548" w:type="dxa"/>
          </w:tcPr>
          <w:p w:rsidR="007E7323" w:rsidRPr="00503F5D" w:rsidRDefault="009665BB" w:rsidP="007E7323">
            <w:pPr>
              <w:jc w:val="right"/>
              <w:rPr>
                <w:lang w:val="en-GB"/>
              </w:rPr>
            </w:pPr>
            <w:r w:rsidRPr="00503F5D">
              <w:rPr>
                <w:rFonts w:eastAsia="Times New Roman" w:cs="Arial"/>
                <w:szCs w:val="20"/>
                <w:lang w:val="en-GB"/>
              </w:rPr>
              <w:t>7.9</w:t>
            </w:r>
            <w:r w:rsidR="007E7323" w:rsidRPr="00503F5D">
              <w:rPr>
                <w:rFonts w:eastAsia="Times New Roman" w:cs="Arial"/>
                <w:szCs w:val="20"/>
                <w:lang w:val="en-GB"/>
              </w:rPr>
              <w:t>%</w:t>
            </w:r>
          </w:p>
        </w:tc>
        <w:tc>
          <w:tcPr>
            <w:tcW w:w="1548" w:type="dxa"/>
          </w:tcPr>
          <w:p w:rsidR="007E7323" w:rsidRPr="00503F5D" w:rsidRDefault="009665BB" w:rsidP="007E7323">
            <w:pPr>
              <w:jc w:val="right"/>
              <w:rPr>
                <w:lang w:val="en-GB"/>
              </w:rPr>
            </w:pPr>
            <w:r w:rsidRPr="00503F5D">
              <w:rPr>
                <w:rFonts w:eastAsia="Times New Roman" w:cs="Arial"/>
                <w:szCs w:val="20"/>
                <w:lang w:val="en-GB"/>
              </w:rPr>
              <w:t>4.4</w:t>
            </w:r>
            <w:r w:rsidR="007E7323" w:rsidRPr="00503F5D">
              <w:rPr>
                <w:rFonts w:eastAsia="Times New Roman" w:cs="Arial"/>
                <w:szCs w:val="20"/>
                <w:lang w:val="en-GB"/>
              </w:rPr>
              <w:t>%</w:t>
            </w:r>
          </w:p>
        </w:tc>
        <w:tc>
          <w:tcPr>
            <w:tcW w:w="1548" w:type="dxa"/>
          </w:tcPr>
          <w:p w:rsidR="007E7323" w:rsidRPr="00503F5D" w:rsidRDefault="009665BB" w:rsidP="007E7323">
            <w:pPr>
              <w:jc w:val="right"/>
              <w:rPr>
                <w:lang w:val="en-GB"/>
              </w:rPr>
            </w:pPr>
            <w:r w:rsidRPr="00503F5D">
              <w:rPr>
                <w:rFonts w:eastAsia="Times New Roman" w:cs="Arial"/>
                <w:szCs w:val="20"/>
                <w:lang w:val="en-GB"/>
              </w:rPr>
              <w:t>28.7</w:t>
            </w:r>
            <w:r w:rsidR="007E7323" w:rsidRPr="00503F5D">
              <w:rPr>
                <w:rFonts w:eastAsia="Times New Roman" w:cs="Arial"/>
                <w:szCs w:val="20"/>
                <w:lang w:val="en-GB"/>
              </w:rPr>
              <w:t>%</w:t>
            </w:r>
          </w:p>
        </w:tc>
      </w:tr>
    </w:tbl>
    <w:p w:rsidR="00AF7738" w:rsidRDefault="0014179E" w:rsidP="00AF7738">
      <w:pPr>
        <w:pStyle w:val="EcoCaption"/>
        <w:rPr>
          <w:lang w:val="en-GB"/>
        </w:rPr>
      </w:pPr>
      <w:bookmarkStart w:id="35" w:name="_Toc252202026"/>
      <w:r w:rsidRPr="00E04A13">
        <w:rPr>
          <w:lang w:val="en-GB"/>
        </w:rPr>
        <w:t xml:space="preserve">Table </w:t>
      </w:r>
      <w:r w:rsidR="00EA4FE5" w:rsidRPr="00E04A13">
        <w:rPr>
          <w:szCs w:val="20"/>
          <w:lang w:val="en-GB"/>
        </w:rPr>
        <w:fldChar w:fldCharType="begin"/>
      </w:r>
      <w:r w:rsidRPr="00E04A13">
        <w:rPr>
          <w:lang w:val="en-GB"/>
        </w:rPr>
        <w:instrText xml:space="preserve"> SEQ Table \* ARABIC </w:instrText>
      </w:r>
      <w:r w:rsidR="00EA4FE5" w:rsidRPr="00E04A13">
        <w:rPr>
          <w:szCs w:val="20"/>
          <w:lang w:val="en-GB"/>
        </w:rPr>
        <w:fldChar w:fldCharType="separate"/>
      </w:r>
      <w:r w:rsidR="00503F5D">
        <w:rPr>
          <w:noProof/>
          <w:lang w:val="en-GB"/>
        </w:rPr>
        <w:t>7</w:t>
      </w:r>
      <w:r w:rsidR="00EA4FE5" w:rsidRPr="00E04A13">
        <w:rPr>
          <w:szCs w:val="20"/>
          <w:lang w:val="en-GB"/>
        </w:rPr>
        <w:fldChar w:fldCharType="end"/>
      </w:r>
      <w:r w:rsidRPr="00E04A13">
        <w:rPr>
          <w:lang w:val="en-GB"/>
        </w:rPr>
        <w:t xml:space="preserve">: </w:t>
      </w:r>
      <w:r w:rsidR="00C41B78">
        <w:rPr>
          <w:lang w:val="en-GB"/>
        </w:rPr>
        <w:t>Nominal g</w:t>
      </w:r>
      <w:r w:rsidRPr="00E04A13">
        <w:rPr>
          <w:lang w:val="en-GB"/>
        </w:rPr>
        <w:t>rowth rates in LCEGS and GDP for Poland, 200</w:t>
      </w:r>
      <w:r w:rsidR="00503F5D">
        <w:rPr>
          <w:lang w:val="en-GB"/>
        </w:rPr>
        <w:t>8</w:t>
      </w:r>
      <w:r w:rsidRPr="00E04A13">
        <w:rPr>
          <w:lang w:val="en-GB"/>
        </w:rPr>
        <w:t>-2011</w:t>
      </w:r>
      <w:bookmarkEnd w:id="35"/>
      <w:r w:rsidRPr="00E04A13">
        <w:rPr>
          <w:lang w:val="en-GB"/>
        </w:rPr>
        <w:t xml:space="preserve"> </w:t>
      </w:r>
    </w:p>
    <w:p w:rsidR="00F00CF2" w:rsidRPr="00E04A13" w:rsidRDefault="00F00CF2" w:rsidP="00AF7738">
      <w:pPr>
        <w:pStyle w:val="Heading3"/>
        <w:spacing w:before="360"/>
        <w:rPr>
          <w:lang w:val="en-GB"/>
        </w:rPr>
      </w:pPr>
      <w:bookmarkStart w:id="36" w:name="_Toc251626644"/>
      <w:r w:rsidRPr="00E04A13">
        <w:rPr>
          <w:lang w:val="en-GB"/>
        </w:rPr>
        <w:t>Portugal</w:t>
      </w:r>
      <w:bookmarkEnd w:id="36"/>
    </w:p>
    <w:p w:rsidR="00446819" w:rsidRPr="00E04A13" w:rsidRDefault="00047351" w:rsidP="00F00CF2">
      <w:pPr>
        <w:rPr>
          <w:lang w:val="en-GB"/>
        </w:rPr>
      </w:pPr>
      <w:r w:rsidRPr="00E04A13">
        <w:rPr>
          <w:lang w:val="en-GB"/>
        </w:rPr>
        <w:t>Portugal is among the EU countries that were most severely affected by the 2008 – 2009 financial and economic crisis, and the ensuing sovereign debt crisis. The Port</w:t>
      </w:r>
      <w:r w:rsidR="002A36A3" w:rsidRPr="00E04A13">
        <w:rPr>
          <w:lang w:val="en-GB"/>
        </w:rPr>
        <w:t>uguese economy contracted by 2.9</w:t>
      </w:r>
      <w:r w:rsidRPr="00E04A13">
        <w:rPr>
          <w:lang w:val="en-GB"/>
        </w:rPr>
        <w:t>% in 2009</w:t>
      </w:r>
      <w:r w:rsidR="002A36A3" w:rsidRPr="00E04A13">
        <w:rPr>
          <w:lang w:val="en-GB"/>
        </w:rPr>
        <w:t>, recovered slightly in 2010, and shrank again by 1.3% in 2011 and 3.2% in 2012.</w:t>
      </w:r>
      <w:r w:rsidR="00D95AAA" w:rsidRPr="00E04A13">
        <w:rPr>
          <w:lang w:val="en-GB"/>
        </w:rPr>
        <w:t xml:space="preserve"> In response to the economic crisis, Portugal adopted a package of stimulus measures in 2009 equivalent to 08% of GDP. Of this, about 18% were considered as environmental stimulus, mostly geared at the energy sector, such as investment into the power grid or renewable energy generation capacity</w:t>
      </w:r>
      <w:r w:rsidR="00933AC0" w:rsidRPr="00E04A13">
        <w:rPr>
          <w:lang w:val="en-GB"/>
        </w:rPr>
        <w:t>, but also investment into energy efficiency improvements in public buildings</w:t>
      </w:r>
      <w:r w:rsidR="00D95AAA" w:rsidRPr="00E04A13">
        <w:rPr>
          <w:lang w:val="en-GB"/>
        </w:rPr>
        <w:t>.</w:t>
      </w:r>
      <w:r w:rsidR="00D95AAA" w:rsidRPr="00E04A13">
        <w:rPr>
          <w:rStyle w:val="FootnoteReference"/>
          <w:lang w:val="en-GB"/>
        </w:rPr>
        <w:footnoteReference w:id="30"/>
      </w:r>
      <w:r w:rsidR="00933AC0" w:rsidRPr="00E04A13">
        <w:rPr>
          <w:lang w:val="en-GB"/>
        </w:rPr>
        <w:t xml:space="preserve"> This stimulus package has managed to achieve its short-term objective of stabilising the economy</w:t>
      </w:r>
      <w:r w:rsidR="00366B4D" w:rsidRPr="00E04A13">
        <w:rPr>
          <w:lang w:val="en-GB"/>
        </w:rPr>
        <w:t>.</w:t>
      </w:r>
      <w:r w:rsidR="00933AC0" w:rsidRPr="00E04A13">
        <w:rPr>
          <w:lang w:val="en-GB"/>
        </w:rPr>
        <w:t xml:space="preserve"> </w:t>
      </w:r>
      <w:r w:rsidR="00366B4D" w:rsidRPr="00E04A13">
        <w:rPr>
          <w:lang w:val="en-GB"/>
        </w:rPr>
        <w:t xml:space="preserve">Yet in the subsequent years the focus moved toward fiscal consolidation, in order to address the soaring budget deficit, which had reached more than 9% in 2009. </w:t>
      </w:r>
    </w:p>
    <w:p w:rsidR="00446819" w:rsidRPr="00E04A13" w:rsidRDefault="00933AC0" w:rsidP="00F00CF2">
      <w:pPr>
        <w:rPr>
          <w:lang w:val="en-GB"/>
        </w:rPr>
      </w:pPr>
      <w:r w:rsidRPr="00E04A13">
        <w:rPr>
          <w:lang w:val="en-GB"/>
        </w:rPr>
        <w:t xml:space="preserve">One outstanding aspect of Portugal’s recent economic performance was the remarkable growth in renewable energies – and in particular renewable electricity generation – that Portugal achieved since 2006, despite the </w:t>
      </w:r>
      <w:r w:rsidR="00446819" w:rsidRPr="00E04A13">
        <w:rPr>
          <w:lang w:val="en-GB"/>
        </w:rPr>
        <w:t>dismal economic performance</w:t>
      </w:r>
      <w:r w:rsidRPr="00E04A13">
        <w:rPr>
          <w:lang w:val="en-GB"/>
        </w:rPr>
        <w:t>. Thus, the share of renewables in electricity generation increase</w:t>
      </w:r>
      <w:r w:rsidR="00D27FD9" w:rsidRPr="00E04A13">
        <w:rPr>
          <w:lang w:val="en-GB"/>
        </w:rPr>
        <w:t>d</w:t>
      </w:r>
      <w:r w:rsidRPr="00E04A13">
        <w:rPr>
          <w:lang w:val="en-GB"/>
        </w:rPr>
        <w:t xml:space="preserve"> from 30% in 2006 to 46.5% in 2011.</w:t>
      </w:r>
      <w:r w:rsidRPr="00E04A13">
        <w:rPr>
          <w:rStyle w:val="FootnoteReference"/>
          <w:lang w:val="en-GB"/>
        </w:rPr>
        <w:footnoteReference w:id="31"/>
      </w:r>
      <w:r w:rsidRPr="00E04A13">
        <w:rPr>
          <w:lang w:val="en-GB"/>
        </w:rPr>
        <w:t xml:space="preserve"> In the first quarter of 2013, according to media coverage, it even reached 70%.</w:t>
      </w:r>
      <w:r w:rsidRPr="00E04A13">
        <w:rPr>
          <w:rStyle w:val="FootnoteReference"/>
          <w:lang w:val="en-GB"/>
        </w:rPr>
        <w:footnoteReference w:id="32"/>
      </w:r>
      <w:r w:rsidR="00BF64CC" w:rsidRPr="00E04A13">
        <w:rPr>
          <w:lang w:val="en-GB"/>
        </w:rPr>
        <w:t xml:space="preserve"> One of the reasons for this success was investment into the electricity grid, in order to absorb the increasing share of decentralised electricity from renewables, often from more remote parts of the country.</w:t>
      </w:r>
    </w:p>
    <w:p w:rsidR="00BF64CC" w:rsidRPr="00E04A13" w:rsidRDefault="00BF64CC" w:rsidP="00BF64CC">
      <w:pPr>
        <w:pStyle w:val="Caption"/>
        <w:keepNext/>
        <w:rPr>
          <w:lang w:val="en-GB"/>
        </w:rPr>
      </w:pPr>
      <w:bookmarkStart w:id="37" w:name="_Toc252202027"/>
      <w:r w:rsidRPr="00E04A13">
        <w:rPr>
          <w:lang w:val="en-GB"/>
        </w:rPr>
        <w:t xml:space="preserve">Table </w:t>
      </w:r>
      <w:r w:rsidR="00EA4FE5" w:rsidRPr="00E04A13">
        <w:rPr>
          <w:lang w:val="en-GB"/>
        </w:rPr>
        <w:fldChar w:fldCharType="begin"/>
      </w:r>
      <w:r w:rsidR="00053139" w:rsidRPr="00E04A13">
        <w:rPr>
          <w:lang w:val="en-GB"/>
        </w:rPr>
        <w:instrText xml:space="preserve"> SEQ Table \* ARABIC </w:instrText>
      </w:r>
      <w:r w:rsidR="00EA4FE5" w:rsidRPr="00E04A13">
        <w:rPr>
          <w:lang w:val="en-GB"/>
        </w:rPr>
        <w:fldChar w:fldCharType="separate"/>
      </w:r>
      <w:r w:rsidR="00503F5D">
        <w:rPr>
          <w:noProof/>
          <w:lang w:val="en-GB"/>
        </w:rPr>
        <w:t>8</w:t>
      </w:r>
      <w:r w:rsidR="00EA4FE5" w:rsidRPr="00E04A13">
        <w:rPr>
          <w:lang w:val="en-GB"/>
        </w:rPr>
        <w:fldChar w:fldCharType="end"/>
      </w:r>
      <w:r w:rsidRPr="00E04A13">
        <w:rPr>
          <w:lang w:val="en-GB"/>
        </w:rPr>
        <w:t>: GDP growth and renewable share in Portugal, 2006 - 2011</w:t>
      </w:r>
      <w:bookmarkEnd w:id="37"/>
    </w:p>
    <w:tbl>
      <w:tblPr>
        <w:tblStyle w:val="TableGrid"/>
        <w:tblW w:w="0" w:type="auto"/>
        <w:tblLook w:val="00BF"/>
      </w:tblPr>
      <w:tblGrid>
        <w:gridCol w:w="3600"/>
        <w:gridCol w:w="948"/>
        <w:gridCol w:w="948"/>
        <w:gridCol w:w="948"/>
        <w:gridCol w:w="948"/>
        <w:gridCol w:w="948"/>
        <w:gridCol w:w="948"/>
      </w:tblGrid>
      <w:tr w:rsidR="00521054" w:rsidRPr="00E04A13">
        <w:tc>
          <w:tcPr>
            <w:tcW w:w="3600" w:type="dxa"/>
          </w:tcPr>
          <w:p w:rsidR="00521054" w:rsidRPr="00E04A13" w:rsidRDefault="00521054" w:rsidP="00F00CF2">
            <w:pPr>
              <w:rPr>
                <w:lang w:val="en-GB"/>
              </w:rPr>
            </w:pPr>
          </w:p>
        </w:tc>
        <w:tc>
          <w:tcPr>
            <w:tcW w:w="948" w:type="dxa"/>
          </w:tcPr>
          <w:p w:rsidR="00521054" w:rsidRPr="00E04A13" w:rsidRDefault="00521054" w:rsidP="00F00CF2">
            <w:pPr>
              <w:rPr>
                <w:lang w:val="en-GB"/>
              </w:rPr>
            </w:pPr>
            <w:r w:rsidRPr="00E04A13">
              <w:rPr>
                <w:lang w:val="en-GB"/>
              </w:rPr>
              <w:t>2006</w:t>
            </w:r>
          </w:p>
        </w:tc>
        <w:tc>
          <w:tcPr>
            <w:tcW w:w="948" w:type="dxa"/>
          </w:tcPr>
          <w:p w:rsidR="00521054" w:rsidRPr="00E04A13" w:rsidRDefault="00521054" w:rsidP="00F00CF2">
            <w:pPr>
              <w:rPr>
                <w:lang w:val="en-GB"/>
              </w:rPr>
            </w:pPr>
            <w:r w:rsidRPr="00E04A13">
              <w:rPr>
                <w:lang w:val="en-GB"/>
              </w:rPr>
              <w:t>2007</w:t>
            </w:r>
          </w:p>
        </w:tc>
        <w:tc>
          <w:tcPr>
            <w:tcW w:w="948" w:type="dxa"/>
          </w:tcPr>
          <w:p w:rsidR="00521054" w:rsidRPr="00E04A13" w:rsidRDefault="00521054" w:rsidP="00F00CF2">
            <w:pPr>
              <w:rPr>
                <w:lang w:val="en-GB"/>
              </w:rPr>
            </w:pPr>
            <w:r w:rsidRPr="00E04A13">
              <w:rPr>
                <w:lang w:val="en-GB"/>
              </w:rPr>
              <w:t>2008</w:t>
            </w:r>
          </w:p>
        </w:tc>
        <w:tc>
          <w:tcPr>
            <w:tcW w:w="948" w:type="dxa"/>
          </w:tcPr>
          <w:p w:rsidR="00521054" w:rsidRPr="00E04A13" w:rsidRDefault="00521054" w:rsidP="00F00CF2">
            <w:pPr>
              <w:rPr>
                <w:lang w:val="en-GB"/>
              </w:rPr>
            </w:pPr>
            <w:r w:rsidRPr="00E04A13">
              <w:rPr>
                <w:lang w:val="en-GB"/>
              </w:rPr>
              <w:t>2009</w:t>
            </w:r>
          </w:p>
        </w:tc>
        <w:tc>
          <w:tcPr>
            <w:tcW w:w="948" w:type="dxa"/>
          </w:tcPr>
          <w:p w:rsidR="00521054" w:rsidRPr="00E04A13" w:rsidRDefault="00521054" w:rsidP="00F00CF2">
            <w:pPr>
              <w:rPr>
                <w:lang w:val="en-GB"/>
              </w:rPr>
            </w:pPr>
            <w:r w:rsidRPr="00E04A13">
              <w:rPr>
                <w:lang w:val="en-GB"/>
              </w:rPr>
              <w:t>2010</w:t>
            </w:r>
          </w:p>
        </w:tc>
        <w:tc>
          <w:tcPr>
            <w:tcW w:w="948" w:type="dxa"/>
          </w:tcPr>
          <w:p w:rsidR="00521054" w:rsidRPr="00E04A13" w:rsidRDefault="00521054" w:rsidP="00F00CF2">
            <w:pPr>
              <w:rPr>
                <w:lang w:val="en-GB"/>
              </w:rPr>
            </w:pPr>
            <w:r w:rsidRPr="00E04A13">
              <w:rPr>
                <w:lang w:val="en-GB"/>
              </w:rPr>
              <w:t>2011</w:t>
            </w:r>
          </w:p>
        </w:tc>
      </w:tr>
      <w:tr w:rsidR="000639A7" w:rsidRPr="00E04A13">
        <w:tc>
          <w:tcPr>
            <w:tcW w:w="3600" w:type="dxa"/>
          </w:tcPr>
          <w:p w:rsidR="000639A7" w:rsidRPr="00E04A13" w:rsidRDefault="000639A7" w:rsidP="00F00CF2">
            <w:pPr>
              <w:rPr>
                <w:lang w:val="en-GB"/>
              </w:rPr>
            </w:pPr>
            <w:r w:rsidRPr="00E04A13">
              <w:rPr>
                <w:lang w:val="en-GB"/>
              </w:rPr>
              <w:t>GDP growth</w:t>
            </w:r>
          </w:p>
        </w:tc>
        <w:tc>
          <w:tcPr>
            <w:tcW w:w="948" w:type="dxa"/>
            <w:vAlign w:val="center"/>
          </w:tcPr>
          <w:p w:rsidR="000639A7" w:rsidRPr="00E04A13" w:rsidRDefault="000639A7" w:rsidP="00C41B78">
            <w:pPr>
              <w:jc w:val="right"/>
              <w:divId w:val="392431938"/>
              <w:rPr>
                <w:rFonts w:ascii="Times" w:hAnsi="Times"/>
                <w:lang w:val="en-GB"/>
              </w:rPr>
            </w:pPr>
            <w:r w:rsidRPr="00E04A13">
              <w:rPr>
                <w:lang w:val="en-GB"/>
              </w:rPr>
              <w:t>1.4</w:t>
            </w:r>
            <w:r w:rsidR="00C41B78">
              <w:rPr>
                <w:lang w:val="en-GB"/>
              </w:rPr>
              <w:t>%</w:t>
            </w:r>
          </w:p>
        </w:tc>
        <w:tc>
          <w:tcPr>
            <w:tcW w:w="948" w:type="dxa"/>
            <w:vAlign w:val="center"/>
          </w:tcPr>
          <w:p w:rsidR="000639A7" w:rsidRPr="00E04A13" w:rsidRDefault="00C41B78" w:rsidP="00C41B78">
            <w:pPr>
              <w:jc w:val="right"/>
              <w:divId w:val="1071462885"/>
              <w:rPr>
                <w:rFonts w:ascii="Times" w:hAnsi="Times"/>
                <w:lang w:val="en-GB"/>
              </w:rPr>
            </w:pPr>
            <w:r>
              <w:rPr>
                <w:lang w:val="en-GB"/>
              </w:rPr>
              <w:t>5.3%</w:t>
            </w:r>
          </w:p>
        </w:tc>
        <w:tc>
          <w:tcPr>
            <w:tcW w:w="948" w:type="dxa"/>
            <w:vAlign w:val="center"/>
          </w:tcPr>
          <w:p w:rsidR="000639A7" w:rsidRPr="00E04A13" w:rsidRDefault="00C41B78" w:rsidP="00C41B78">
            <w:pPr>
              <w:jc w:val="right"/>
              <w:divId w:val="843400933"/>
              <w:rPr>
                <w:rFonts w:ascii="Times" w:hAnsi="Times"/>
                <w:lang w:val="en-GB"/>
              </w:rPr>
            </w:pPr>
            <w:r>
              <w:rPr>
                <w:lang w:val="en-GB"/>
              </w:rPr>
              <w:t>1.6%</w:t>
            </w:r>
          </w:p>
        </w:tc>
        <w:tc>
          <w:tcPr>
            <w:tcW w:w="948" w:type="dxa"/>
            <w:vAlign w:val="center"/>
          </w:tcPr>
          <w:p w:rsidR="000639A7" w:rsidRPr="00E04A13" w:rsidRDefault="00C41B78" w:rsidP="00C41B78">
            <w:pPr>
              <w:jc w:val="right"/>
              <w:divId w:val="1562053639"/>
              <w:rPr>
                <w:rFonts w:ascii="Times" w:hAnsi="Times"/>
                <w:lang w:val="en-GB"/>
              </w:rPr>
            </w:pPr>
            <w:r>
              <w:rPr>
                <w:lang w:val="en-GB"/>
              </w:rPr>
              <w:t>-2.0%</w:t>
            </w:r>
          </w:p>
        </w:tc>
        <w:tc>
          <w:tcPr>
            <w:tcW w:w="948" w:type="dxa"/>
            <w:vAlign w:val="center"/>
          </w:tcPr>
          <w:p w:rsidR="000639A7" w:rsidRPr="00E04A13" w:rsidRDefault="00C41B78" w:rsidP="00C41B78">
            <w:pPr>
              <w:jc w:val="right"/>
              <w:divId w:val="22295176"/>
              <w:rPr>
                <w:rFonts w:ascii="Times" w:hAnsi="Times"/>
                <w:lang w:val="en-GB"/>
              </w:rPr>
            </w:pPr>
            <w:r>
              <w:rPr>
                <w:lang w:val="en-GB"/>
              </w:rPr>
              <w:t>2.6%</w:t>
            </w:r>
          </w:p>
        </w:tc>
        <w:tc>
          <w:tcPr>
            <w:tcW w:w="948" w:type="dxa"/>
            <w:vAlign w:val="center"/>
          </w:tcPr>
          <w:p w:rsidR="000639A7" w:rsidRPr="00E04A13" w:rsidRDefault="000639A7" w:rsidP="00C41B78">
            <w:pPr>
              <w:jc w:val="right"/>
              <w:divId w:val="369838120"/>
              <w:rPr>
                <w:rFonts w:ascii="Times" w:hAnsi="Times"/>
                <w:lang w:val="en-GB"/>
              </w:rPr>
            </w:pPr>
            <w:r w:rsidRPr="00A311A2">
              <w:rPr>
                <w:lang w:val="en-GB"/>
              </w:rPr>
              <w:t>-1.0</w:t>
            </w:r>
            <w:r w:rsidR="00C41B78">
              <w:rPr>
                <w:lang w:val="en-GB"/>
              </w:rPr>
              <w:t>%</w:t>
            </w:r>
          </w:p>
        </w:tc>
      </w:tr>
      <w:tr w:rsidR="00521054" w:rsidRPr="00E04A13">
        <w:tc>
          <w:tcPr>
            <w:tcW w:w="3600" w:type="dxa"/>
          </w:tcPr>
          <w:p w:rsidR="00521054" w:rsidRPr="00E04A13" w:rsidRDefault="00521054" w:rsidP="00F00CF2">
            <w:pPr>
              <w:rPr>
                <w:lang w:val="en-GB"/>
              </w:rPr>
            </w:pPr>
            <w:r w:rsidRPr="00E04A13">
              <w:rPr>
                <w:lang w:val="en-GB"/>
              </w:rPr>
              <w:t xml:space="preserve">Share of </w:t>
            </w:r>
            <w:proofErr w:type="spellStart"/>
            <w:r w:rsidRPr="00E04A13">
              <w:rPr>
                <w:lang w:val="en-GB"/>
              </w:rPr>
              <w:t>renewables</w:t>
            </w:r>
            <w:proofErr w:type="spellEnd"/>
            <w:r w:rsidRPr="00E04A13">
              <w:rPr>
                <w:lang w:val="en-GB"/>
              </w:rPr>
              <w:t xml:space="preserve"> in electricity</w:t>
            </w:r>
          </w:p>
        </w:tc>
        <w:tc>
          <w:tcPr>
            <w:tcW w:w="948" w:type="dxa"/>
            <w:vAlign w:val="center"/>
          </w:tcPr>
          <w:p w:rsidR="00521054" w:rsidRPr="00E04A13" w:rsidRDefault="00521054" w:rsidP="00C41B78">
            <w:pPr>
              <w:jc w:val="right"/>
              <w:divId w:val="272444200"/>
              <w:rPr>
                <w:rFonts w:ascii="Times" w:hAnsi="Times"/>
                <w:lang w:val="en-GB"/>
              </w:rPr>
            </w:pPr>
            <w:r w:rsidRPr="00E04A13">
              <w:rPr>
                <w:lang w:val="en-GB"/>
              </w:rPr>
              <w:t>30.0</w:t>
            </w:r>
            <w:r w:rsidR="00C41B78">
              <w:rPr>
                <w:lang w:val="en-GB"/>
              </w:rPr>
              <w:t>%</w:t>
            </w:r>
          </w:p>
        </w:tc>
        <w:tc>
          <w:tcPr>
            <w:tcW w:w="948" w:type="dxa"/>
            <w:vAlign w:val="center"/>
          </w:tcPr>
          <w:p w:rsidR="00521054" w:rsidRPr="00E04A13" w:rsidRDefault="00521054" w:rsidP="00C41B78">
            <w:pPr>
              <w:jc w:val="right"/>
              <w:divId w:val="768962747"/>
              <w:rPr>
                <w:rFonts w:ascii="Times" w:hAnsi="Times"/>
                <w:lang w:val="en-GB"/>
              </w:rPr>
            </w:pPr>
            <w:r w:rsidRPr="00E04A13">
              <w:rPr>
                <w:lang w:val="en-GB"/>
              </w:rPr>
              <w:t>32.7</w:t>
            </w:r>
            <w:r w:rsidR="00C41B78">
              <w:rPr>
                <w:lang w:val="en-GB"/>
              </w:rPr>
              <w:t>%</w:t>
            </w:r>
          </w:p>
        </w:tc>
        <w:tc>
          <w:tcPr>
            <w:tcW w:w="948" w:type="dxa"/>
            <w:vAlign w:val="center"/>
          </w:tcPr>
          <w:p w:rsidR="00521054" w:rsidRPr="00E04A13" w:rsidRDefault="00521054" w:rsidP="00C41B78">
            <w:pPr>
              <w:jc w:val="right"/>
              <w:divId w:val="1373844329"/>
              <w:rPr>
                <w:rFonts w:ascii="Times" w:hAnsi="Times"/>
                <w:lang w:val="en-GB"/>
              </w:rPr>
            </w:pPr>
            <w:r w:rsidRPr="00E04A13">
              <w:rPr>
                <w:lang w:val="en-GB"/>
              </w:rPr>
              <w:t>34.6</w:t>
            </w:r>
            <w:r w:rsidR="00C41B78">
              <w:rPr>
                <w:lang w:val="en-GB"/>
              </w:rPr>
              <w:t>%</w:t>
            </w:r>
          </w:p>
        </w:tc>
        <w:tc>
          <w:tcPr>
            <w:tcW w:w="948" w:type="dxa"/>
            <w:vAlign w:val="center"/>
          </w:tcPr>
          <w:p w:rsidR="00521054" w:rsidRPr="00E04A13" w:rsidRDefault="00521054" w:rsidP="00C41B78">
            <w:pPr>
              <w:jc w:val="right"/>
              <w:divId w:val="1682197022"/>
              <w:rPr>
                <w:rFonts w:ascii="Times" w:hAnsi="Times"/>
                <w:lang w:val="en-GB"/>
              </w:rPr>
            </w:pPr>
            <w:r w:rsidRPr="00E04A13">
              <w:rPr>
                <w:lang w:val="en-GB"/>
              </w:rPr>
              <w:t>38.2</w:t>
            </w:r>
            <w:r w:rsidR="00C41B78">
              <w:rPr>
                <w:lang w:val="en-GB"/>
              </w:rPr>
              <w:t>%</w:t>
            </w:r>
          </w:p>
        </w:tc>
        <w:tc>
          <w:tcPr>
            <w:tcW w:w="948" w:type="dxa"/>
            <w:vAlign w:val="center"/>
          </w:tcPr>
          <w:p w:rsidR="00521054" w:rsidRPr="00E04A13" w:rsidRDefault="00521054" w:rsidP="00C41B78">
            <w:pPr>
              <w:jc w:val="right"/>
              <w:divId w:val="1844735453"/>
              <w:rPr>
                <w:rFonts w:ascii="Times" w:hAnsi="Times"/>
                <w:lang w:val="en-GB"/>
              </w:rPr>
            </w:pPr>
            <w:r w:rsidRPr="00E04A13">
              <w:rPr>
                <w:lang w:val="en-GB"/>
              </w:rPr>
              <w:t>41.2</w:t>
            </w:r>
            <w:r w:rsidR="00C41B78">
              <w:rPr>
                <w:lang w:val="en-GB"/>
              </w:rPr>
              <w:t>%</w:t>
            </w:r>
          </w:p>
        </w:tc>
        <w:tc>
          <w:tcPr>
            <w:tcW w:w="948" w:type="dxa"/>
            <w:vAlign w:val="center"/>
          </w:tcPr>
          <w:p w:rsidR="00521054" w:rsidRPr="00E04A13" w:rsidRDefault="00521054" w:rsidP="00C41B78">
            <w:pPr>
              <w:jc w:val="right"/>
              <w:divId w:val="1302031974"/>
              <w:rPr>
                <w:rFonts w:ascii="Times" w:hAnsi="Times"/>
                <w:lang w:val="en-GB"/>
              </w:rPr>
            </w:pPr>
            <w:r w:rsidRPr="00E04A13">
              <w:rPr>
                <w:lang w:val="en-GB"/>
              </w:rPr>
              <w:t>46.5</w:t>
            </w:r>
            <w:r w:rsidR="00C41B78">
              <w:rPr>
                <w:lang w:val="en-GB"/>
              </w:rPr>
              <w:t>%</w:t>
            </w:r>
          </w:p>
        </w:tc>
      </w:tr>
    </w:tbl>
    <w:p w:rsidR="00366B4D" w:rsidRPr="00E04A13" w:rsidRDefault="00933AC0" w:rsidP="00F00CF2">
      <w:pPr>
        <w:rPr>
          <w:lang w:val="en-GB"/>
        </w:rPr>
      </w:pPr>
      <w:r w:rsidRPr="00E04A13">
        <w:rPr>
          <w:lang w:val="en-GB"/>
        </w:rPr>
        <w:t xml:space="preserve">Investment into environmental infrastructure </w:t>
      </w:r>
      <w:r w:rsidR="00366B4D" w:rsidRPr="00E04A13">
        <w:rPr>
          <w:lang w:val="en-GB"/>
        </w:rPr>
        <w:t xml:space="preserve">has </w:t>
      </w:r>
      <w:r w:rsidRPr="00E04A13">
        <w:rPr>
          <w:lang w:val="en-GB"/>
        </w:rPr>
        <w:t xml:space="preserve">also </w:t>
      </w:r>
      <w:r w:rsidR="00366B4D" w:rsidRPr="00E04A13">
        <w:rPr>
          <w:lang w:val="en-GB"/>
        </w:rPr>
        <w:t xml:space="preserve">been a strong driving force for the greening of the Portuguese economy </w:t>
      </w:r>
      <w:r w:rsidRPr="00E04A13">
        <w:rPr>
          <w:lang w:val="en-GB"/>
        </w:rPr>
        <w:t xml:space="preserve">in other </w:t>
      </w:r>
      <w:r w:rsidR="00366B4D" w:rsidRPr="00E04A13">
        <w:rPr>
          <w:lang w:val="en-GB"/>
        </w:rPr>
        <w:t>environmental areas</w:t>
      </w:r>
      <w:r w:rsidRPr="00E04A13">
        <w:rPr>
          <w:lang w:val="en-GB"/>
        </w:rPr>
        <w:t>, such as wastewater treatment and waste management</w:t>
      </w:r>
      <w:r w:rsidR="00366B4D" w:rsidRPr="00E04A13">
        <w:rPr>
          <w:lang w:val="en-GB"/>
        </w:rPr>
        <w:t>. Since its accession to the EU, considerable investment has gone towards environmental infrastructure,</w:t>
      </w:r>
      <w:r w:rsidRPr="00E04A13">
        <w:rPr>
          <w:lang w:val="en-GB"/>
        </w:rPr>
        <w:t xml:space="preserve"> often support</w:t>
      </w:r>
      <w:r w:rsidR="00366B4D" w:rsidRPr="00E04A13">
        <w:rPr>
          <w:lang w:val="en-GB"/>
        </w:rPr>
        <w:t>ed with EU funding.</w:t>
      </w:r>
      <w:r w:rsidRPr="00E04A13">
        <w:rPr>
          <w:lang w:val="en-GB"/>
        </w:rPr>
        <w:t xml:space="preserve"> </w:t>
      </w:r>
      <w:r w:rsidR="00366B4D" w:rsidRPr="00E04A13">
        <w:rPr>
          <w:lang w:val="en-GB"/>
        </w:rPr>
        <w:t>Thus, b</w:t>
      </w:r>
      <w:r w:rsidRPr="00E04A13">
        <w:rPr>
          <w:lang w:val="en-GB"/>
        </w:rPr>
        <w:t xml:space="preserve">etween 2000 and 2006, Portugal invested almost 8 billion </w:t>
      </w:r>
      <w:proofErr w:type="gramStart"/>
      <w:r w:rsidRPr="00E04A13">
        <w:rPr>
          <w:lang w:val="en-GB"/>
        </w:rPr>
        <w:t>Euro</w:t>
      </w:r>
      <w:proofErr w:type="gramEnd"/>
      <w:r w:rsidRPr="00E04A13">
        <w:rPr>
          <w:lang w:val="en-GB"/>
        </w:rPr>
        <w:t>, or 0.8% of its GDP, into upgrading the environmental infrastructure, including an EU contribution of 2.3 billion Euro.</w:t>
      </w:r>
      <w:r w:rsidRPr="00E04A13">
        <w:rPr>
          <w:rStyle w:val="FootnoteReference"/>
          <w:lang w:val="en-GB"/>
        </w:rPr>
        <w:footnoteReference w:id="33"/>
      </w:r>
    </w:p>
    <w:p w:rsidR="0097197A" w:rsidRPr="00E04A13" w:rsidRDefault="00D27FD9" w:rsidP="00F00CF2">
      <w:pPr>
        <w:rPr>
          <w:lang w:val="en-GB"/>
        </w:rPr>
      </w:pPr>
      <w:r w:rsidRPr="00E04A13">
        <w:rPr>
          <w:lang w:val="en-GB"/>
        </w:rPr>
        <w:t xml:space="preserve">In terms of developing green jobs and stimulating </w:t>
      </w:r>
      <w:r w:rsidR="0097197A" w:rsidRPr="00E04A13">
        <w:rPr>
          <w:lang w:val="en-GB"/>
        </w:rPr>
        <w:t>green innova</w:t>
      </w:r>
      <w:r w:rsidRPr="00E04A13">
        <w:rPr>
          <w:lang w:val="en-GB"/>
        </w:rPr>
        <w:t>tion, there remains much room for improvement.</w:t>
      </w:r>
      <w:r w:rsidR="0097197A" w:rsidRPr="00E04A13">
        <w:rPr>
          <w:lang w:val="en-GB"/>
        </w:rPr>
        <w:t xml:space="preserve"> </w:t>
      </w:r>
      <w:r w:rsidRPr="00E04A13">
        <w:rPr>
          <w:lang w:val="en-GB"/>
        </w:rPr>
        <w:t>S</w:t>
      </w:r>
      <w:r w:rsidR="0097197A" w:rsidRPr="00E04A13">
        <w:rPr>
          <w:lang w:val="en-GB"/>
        </w:rPr>
        <w:t>o far</w:t>
      </w:r>
      <w:r w:rsidRPr="00E04A13">
        <w:rPr>
          <w:lang w:val="en-GB"/>
        </w:rPr>
        <w:t>, the employment in Eco-Industries in Portugal</w:t>
      </w:r>
      <w:r w:rsidR="0097197A" w:rsidRPr="00E04A13">
        <w:rPr>
          <w:lang w:val="en-GB"/>
        </w:rPr>
        <w:t xml:space="preserve"> </w:t>
      </w:r>
      <w:r w:rsidRPr="00E04A13">
        <w:rPr>
          <w:lang w:val="en-GB"/>
        </w:rPr>
        <w:t xml:space="preserve">is predominantly </w:t>
      </w:r>
      <w:r w:rsidR="0097197A" w:rsidRPr="00E04A13">
        <w:rPr>
          <w:lang w:val="en-GB"/>
        </w:rPr>
        <w:t>low-skilled</w:t>
      </w:r>
      <w:r w:rsidRPr="00E04A13">
        <w:rPr>
          <w:lang w:val="en-GB"/>
        </w:rPr>
        <w:t>, most of this in waste collection</w:t>
      </w:r>
      <w:r w:rsidR="0097197A" w:rsidRPr="00E04A13">
        <w:rPr>
          <w:lang w:val="en-GB"/>
        </w:rPr>
        <w:t>.</w:t>
      </w:r>
      <w:r w:rsidRPr="00E04A13">
        <w:rPr>
          <w:rStyle w:val="FootnoteReference"/>
          <w:lang w:val="en-GB"/>
        </w:rPr>
        <w:footnoteReference w:id="34"/>
      </w:r>
      <w:r w:rsidR="008B4CEA" w:rsidRPr="00E04A13">
        <w:rPr>
          <w:lang w:val="en-GB"/>
        </w:rPr>
        <w:t xml:space="preserve"> The move towards </w:t>
      </w:r>
      <w:r w:rsidR="00BF64CC" w:rsidRPr="00E04A13">
        <w:rPr>
          <w:lang w:val="en-GB"/>
        </w:rPr>
        <w:t xml:space="preserve">a </w:t>
      </w:r>
      <w:r w:rsidR="008B4CEA" w:rsidRPr="00E04A13">
        <w:rPr>
          <w:lang w:val="en-GB"/>
        </w:rPr>
        <w:t xml:space="preserve">knowledge-based Eco-Industries is taking root only in recent years – </w:t>
      </w:r>
      <w:r w:rsidR="00BF64CC" w:rsidRPr="00E04A13">
        <w:rPr>
          <w:lang w:val="en-GB"/>
        </w:rPr>
        <w:t>in the past,</w:t>
      </w:r>
      <w:r w:rsidR="008B4CEA" w:rsidRPr="00E04A13">
        <w:rPr>
          <w:lang w:val="en-GB"/>
        </w:rPr>
        <w:t xml:space="preserve"> </w:t>
      </w:r>
      <w:r w:rsidR="00BF64CC" w:rsidRPr="00E04A13">
        <w:rPr>
          <w:lang w:val="en-GB"/>
        </w:rPr>
        <w:t xml:space="preserve">Portugal did not have a </w:t>
      </w:r>
      <w:r w:rsidR="008B4CEA" w:rsidRPr="00E04A13">
        <w:rPr>
          <w:lang w:val="en-GB"/>
        </w:rPr>
        <w:t xml:space="preserve">centrally coordinated strategy to </w:t>
      </w:r>
      <w:r w:rsidR="00BF64CC" w:rsidRPr="00E04A13">
        <w:rPr>
          <w:lang w:val="en-GB"/>
        </w:rPr>
        <w:t>foster innovation in environmental goods and services. Thus, i</w:t>
      </w:r>
      <w:r w:rsidRPr="00E04A13">
        <w:rPr>
          <w:lang w:val="en-GB"/>
        </w:rPr>
        <w:t xml:space="preserve">n terms of </w:t>
      </w:r>
      <w:r w:rsidR="00F44462" w:rsidRPr="00E04A13">
        <w:rPr>
          <w:lang w:val="en-GB"/>
        </w:rPr>
        <w:t xml:space="preserve">Portugal </w:t>
      </w:r>
      <w:r w:rsidRPr="00E04A13">
        <w:rPr>
          <w:lang w:val="en-GB"/>
        </w:rPr>
        <w:t xml:space="preserve">its innovation performance in the Eco-Industries, Portugal </w:t>
      </w:r>
      <w:r w:rsidR="00F44462" w:rsidRPr="00E04A13">
        <w:rPr>
          <w:lang w:val="en-GB"/>
        </w:rPr>
        <w:t>has long been a laggard</w:t>
      </w:r>
      <w:r w:rsidRPr="00E04A13">
        <w:rPr>
          <w:lang w:val="en-GB"/>
        </w:rPr>
        <w:t xml:space="preserve"> compared to other EU</w:t>
      </w:r>
      <w:r w:rsidR="00F44462" w:rsidRPr="00E04A13">
        <w:rPr>
          <w:lang w:val="en-GB"/>
        </w:rPr>
        <w:t xml:space="preserve"> </w:t>
      </w:r>
      <w:r w:rsidRPr="00E04A13">
        <w:rPr>
          <w:lang w:val="en-GB"/>
        </w:rPr>
        <w:t>countries, as evidenced by a low number of patents for environmental technologies. On the input side, there have been some</w:t>
      </w:r>
      <w:r w:rsidR="0097197A" w:rsidRPr="00E04A13">
        <w:rPr>
          <w:lang w:val="en-GB"/>
        </w:rPr>
        <w:t xml:space="preserve"> </w:t>
      </w:r>
      <w:r w:rsidRPr="00E04A13">
        <w:rPr>
          <w:lang w:val="en-GB"/>
        </w:rPr>
        <w:t xml:space="preserve">encouraging </w:t>
      </w:r>
      <w:r w:rsidR="0097197A" w:rsidRPr="00E04A13">
        <w:rPr>
          <w:lang w:val="en-GB"/>
        </w:rPr>
        <w:t xml:space="preserve">signs before the recession: </w:t>
      </w:r>
      <w:r w:rsidRPr="00E04A13">
        <w:rPr>
          <w:lang w:val="en-GB"/>
        </w:rPr>
        <w:t xml:space="preserve">Thus, Portugal featured the </w:t>
      </w:r>
      <w:r w:rsidR="0097197A" w:rsidRPr="00E04A13">
        <w:rPr>
          <w:lang w:val="en-GB"/>
        </w:rPr>
        <w:t xml:space="preserve">second highest government R&amp;D budget </w:t>
      </w:r>
      <w:r w:rsidR="00503F5D">
        <w:rPr>
          <w:lang w:val="en-GB"/>
        </w:rPr>
        <w:t>of</w:t>
      </w:r>
      <w:r w:rsidR="0097197A" w:rsidRPr="00E04A13">
        <w:rPr>
          <w:lang w:val="en-GB"/>
        </w:rPr>
        <w:t xml:space="preserve"> all OECD countries</w:t>
      </w:r>
      <w:r w:rsidRPr="00E04A13">
        <w:rPr>
          <w:lang w:val="en-GB"/>
        </w:rPr>
        <w:t xml:space="preserve"> in 2008</w:t>
      </w:r>
      <w:r w:rsidR="0097197A" w:rsidRPr="00E04A13">
        <w:rPr>
          <w:lang w:val="en-GB"/>
        </w:rPr>
        <w:t xml:space="preserve">, </w:t>
      </w:r>
      <w:r w:rsidRPr="00E04A13">
        <w:rPr>
          <w:lang w:val="en-GB"/>
        </w:rPr>
        <w:t xml:space="preserve">and an </w:t>
      </w:r>
      <w:r w:rsidR="0097197A" w:rsidRPr="00E04A13">
        <w:rPr>
          <w:lang w:val="en-GB"/>
        </w:rPr>
        <w:t>above-average share of fun</w:t>
      </w:r>
      <w:r w:rsidRPr="00E04A13">
        <w:rPr>
          <w:lang w:val="en-GB"/>
        </w:rPr>
        <w:t xml:space="preserve">ding for environmental research, ranging </w:t>
      </w:r>
      <w:r w:rsidR="0097197A" w:rsidRPr="00E04A13">
        <w:rPr>
          <w:lang w:val="en-GB"/>
        </w:rPr>
        <w:t>up to</w:t>
      </w:r>
      <w:r w:rsidRPr="00E04A13">
        <w:rPr>
          <w:lang w:val="en-GB"/>
        </w:rPr>
        <w:t xml:space="preserve"> 4</w:t>
      </w:r>
      <w:r w:rsidR="0097197A" w:rsidRPr="00E04A13">
        <w:rPr>
          <w:lang w:val="en-GB"/>
        </w:rPr>
        <w:t>%</w:t>
      </w:r>
      <w:r w:rsidRPr="00E04A13">
        <w:rPr>
          <w:lang w:val="en-GB"/>
        </w:rPr>
        <w:t xml:space="preserve"> (compared to an OECD average of 2.4%)</w:t>
      </w:r>
      <w:r w:rsidR="0097197A" w:rsidRPr="00E04A13">
        <w:rPr>
          <w:lang w:val="en-GB"/>
        </w:rPr>
        <w:t>.</w:t>
      </w:r>
      <w:r w:rsidR="00F44462" w:rsidRPr="00E04A13">
        <w:rPr>
          <w:lang w:val="en-GB"/>
        </w:rPr>
        <w:t xml:space="preserve"> In real terms, expenditure for environmental R&amp;D increase</w:t>
      </w:r>
      <w:r w:rsidRPr="00E04A13">
        <w:rPr>
          <w:lang w:val="en-GB"/>
        </w:rPr>
        <w:t>d</w:t>
      </w:r>
      <w:r w:rsidR="00F44462" w:rsidRPr="00E04A13">
        <w:rPr>
          <w:lang w:val="en-GB"/>
        </w:rPr>
        <w:t xml:space="preserve"> by almost half between 2000 and 2007.</w:t>
      </w:r>
      <w:r w:rsidR="00BF64CC" w:rsidRPr="00E04A13">
        <w:rPr>
          <w:lang w:val="en-GB"/>
        </w:rPr>
        <w:t xml:space="preserve"> Alas, it is u</w:t>
      </w:r>
      <w:r w:rsidR="00F44462" w:rsidRPr="00E04A13">
        <w:rPr>
          <w:lang w:val="en-GB"/>
        </w:rPr>
        <w:t>nclear how these trends have been</w:t>
      </w:r>
      <w:r w:rsidR="00BF64CC" w:rsidRPr="00E04A13">
        <w:rPr>
          <w:lang w:val="en-GB"/>
        </w:rPr>
        <w:t>, or will be,</w:t>
      </w:r>
      <w:r w:rsidR="00F44462" w:rsidRPr="00E04A13">
        <w:rPr>
          <w:lang w:val="en-GB"/>
        </w:rPr>
        <w:t xml:space="preserve"> affected by the austerity policy.</w:t>
      </w:r>
    </w:p>
    <w:p w:rsidR="006E7766" w:rsidRDefault="00BF64CC" w:rsidP="00F00CF2">
      <w:pPr>
        <w:rPr>
          <w:lang w:val="en-GB"/>
        </w:rPr>
      </w:pPr>
      <w:r w:rsidRPr="00E04A13">
        <w:rPr>
          <w:lang w:val="en-GB"/>
        </w:rPr>
        <w:t>In terms of the international competitiveness of its E</w:t>
      </w:r>
      <w:r w:rsidR="00F44462" w:rsidRPr="00E04A13">
        <w:rPr>
          <w:lang w:val="en-GB"/>
        </w:rPr>
        <w:t>co-Industries</w:t>
      </w:r>
      <w:r w:rsidRPr="00E04A13">
        <w:rPr>
          <w:lang w:val="en-GB"/>
        </w:rPr>
        <w:t>,</w:t>
      </w:r>
      <w:r w:rsidR="00F44462" w:rsidRPr="00E04A13">
        <w:rPr>
          <w:lang w:val="en-GB"/>
        </w:rPr>
        <w:t xml:space="preserve"> Portuguese industry has </w:t>
      </w:r>
      <w:r w:rsidRPr="00E04A13">
        <w:rPr>
          <w:lang w:val="en-GB"/>
        </w:rPr>
        <w:t xml:space="preserve">traditionally held </w:t>
      </w:r>
      <w:r w:rsidR="00F44462" w:rsidRPr="00E04A13">
        <w:rPr>
          <w:lang w:val="en-GB"/>
        </w:rPr>
        <w:t xml:space="preserve">a strong position in the manufacture of solar thermal technologies and </w:t>
      </w:r>
      <w:r w:rsidRPr="00E04A13">
        <w:rPr>
          <w:lang w:val="en-GB"/>
        </w:rPr>
        <w:t xml:space="preserve">air pollution control equipment. More lately, it has also developed manufacturing capacities for </w:t>
      </w:r>
      <w:r w:rsidR="00F44462" w:rsidRPr="00E04A13">
        <w:rPr>
          <w:lang w:val="en-GB"/>
        </w:rPr>
        <w:t>solar PV and wind technologies</w:t>
      </w:r>
      <w:r w:rsidRPr="00E04A13">
        <w:rPr>
          <w:lang w:val="en-GB"/>
        </w:rPr>
        <w:t>, and has started to export these</w:t>
      </w:r>
      <w:r w:rsidR="00F44462" w:rsidRPr="00E04A13">
        <w:rPr>
          <w:lang w:val="en-GB"/>
        </w:rPr>
        <w:t>. For renewable energy technologies, Portugal has traditionally been a net exporter due to solar thermal exports, and returned to this status in 2008. For environmental technologies generally, it continues to be a net importer of technologies.</w:t>
      </w:r>
    </w:p>
    <w:p w:rsidR="000639A7" w:rsidRDefault="006E7766" w:rsidP="000639A7">
      <w:pPr>
        <w:rPr>
          <w:lang w:val="en-GB"/>
        </w:rPr>
      </w:pPr>
      <w:r>
        <w:rPr>
          <w:lang w:val="en-GB"/>
        </w:rPr>
        <w:t xml:space="preserve">In absolute terms, the LCEGS sector has been one of the more positive developments in an otherwise desolate economic climate: while </w:t>
      </w:r>
      <w:r w:rsidR="00C41B78">
        <w:rPr>
          <w:lang w:val="en-GB"/>
        </w:rPr>
        <w:t xml:space="preserve">nominal </w:t>
      </w:r>
      <w:r>
        <w:rPr>
          <w:lang w:val="en-GB"/>
        </w:rPr>
        <w:t xml:space="preserve">GDP was </w:t>
      </w:r>
      <w:r w:rsidR="00C41B78">
        <w:rPr>
          <w:lang w:val="en-GB"/>
        </w:rPr>
        <w:t xml:space="preserve">only 1% higher </w:t>
      </w:r>
      <w:r>
        <w:rPr>
          <w:lang w:val="en-GB"/>
        </w:rPr>
        <w:t>in 2012 than it had been in 2008</w:t>
      </w:r>
      <w:r w:rsidR="00C41B78">
        <w:rPr>
          <w:lang w:val="en-GB"/>
        </w:rPr>
        <w:t xml:space="preserve"> (and real GDP fell by about 5%)</w:t>
      </w:r>
      <w:r>
        <w:rPr>
          <w:lang w:val="en-GB"/>
        </w:rPr>
        <w:t xml:space="preserve">, the LCEGS sector grew by about 5% </w:t>
      </w:r>
      <w:r w:rsidR="00C41B78">
        <w:rPr>
          <w:lang w:val="en-GB"/>
        </w:rPr>
        <w:t>during this period</w:t>
      </w:r>
      <w:r>
        <w:rPr>
          <w:lang w:val="en-GB"/>
        </w:rPr>
        <w:t>.</w:t>
      </w:r>
      <w:r w:rsidR="000639A7" w:rsidRPr="000639A7">
        <w:rPr>
          <w:lang w:val="en-GB"/>
        </w:rPr>
        <w:t xml:space="preserve"> </w:t>
      </w:r>
      <w:r w:rsidR="000639A7" w:rsidRPr="00A311A2">
        <w:rPr>
          <w:lang w:val="en-GB"/>
        </w:rPr>
        <w:t xml:space="preserve">A review of Portugal’s low-carbon and economy-wide performance in the studied period is presented below in </w:t>
      </w:r>
      <w:r w:rsidR="000639A7" w:rsidRPr="00A311A2">
        <w:rPr>
          <w:lang w:val="en-GB"/>
        </w:rPr>
        <w:fldChar w:fldCharType="begin"/>
      </w:r>
      <w:r w:rsidR="000639A7" w:rsidRPr="00A311A2">
        <w:rPr>
          <w:lang w:val="en-GB"/>
        </w:rPr>
        <w:instrText xml:space="preserve"> REF _Ref377648748 \h </w:instrText>
      </w:r>
      <w:r w:rsidR="000639A7" w:rsidRPr="00F04CA0">
        <w:rPr>
          <w:lang w:val="en-GB"/>
        </w:rPr>
      </w:r>
      <w:r w:rsidR="000639A7" w:rsidRPr="00A311A2">
        <w:rPr>
          <w:lang w:val="en-GB"/>
        </w:rPr>
        <w:fldChar w:fldCharType="separate"/>
      </w:r>
      <w:r w:rsidR="00503F5D" w:rsidRPr="00A311A2">
        <w:rPr>
          <w:lang w:val="en-GB"/>
        </w:rPr>
        <w:t xml:space="preserve">Table </w:t>
      </w:r>
      <w:r w:rsidR="00503F5D">
        <w:rPr>
          <w:noProof/>
          <w:lang w:val="en-GB"/>
        </w:rPr>
        <w:t>9</w:t>
      </w:r>
      <w:r w:rsidR="000639A7" w:rsidRPr="00A311A2">
        <w:rPr>
          <w:lang w:val="en-GB"/>
        </w:rPr>
        <w:fldChar w:fldCharType="end"/>
      </w:r>
      <w:r w:rsidR="000639A7" w:rsidRPr="00A311A2">
        <w:rPr>
          <w:lang w:val="en-GB"/>
        </w:rPr>
        <w:t>.</w:t>
      </w:r>
    </w:p>
    <w:tbl>
      <w:tblPr>
        <w:tblStyle w:val="TableGrid"/>
        <w:tblW w:w="0" w:type="auto"/>
        <w:tblLook w:val="00BF"/>
      </w:tblPr>
      <w:tblGrid>
        <w:gridCol w:w="1548"/>
        <w:gridCol w:w="1548"/>
        <w:gridCol w:w="1548"/>
        <w:gridCol w:w="1548"/>
        <w:gridCol w:w="1548"/>
        <w:gridCol w:w="1548"/>
      </w:tblGrid>
      <w:tr w:rsidR="00C41B78">
        <w:tc>
          <w:tcPr>
            <w:tcW w:w="1548" w:type="dxa"/>
          </w:tcPr>
          <w:p w:rsidR="00C41B78" w:rsidRDefault="00C41B78" w:rsidP="000639A7">
            <w:pPr>
              <w:rPr>
                <w:lang w:val="en-GB"/>
              </w:rPr>
            </w:pPr>
          </w:p>
        </w:tc>
        <w:tc>
          <w:tcPr>
            <w:tcW w:w="1548" w:type="dxa"/>
          </w:tcPr>
          <w:p w:rsidR="00C41B78" w:rsidRDefault="00C41B78" w:rsidP="00C41B78">
            <w:pPr>
              <w:jc w:val="center"/>
              <w:rPr>
                <w:lang w:val="en-GB"/>
              </w:rPr>
            </w:pPr>
            <w:r w:rsidRPr="00A311A2">
              <w:rPr>
                <w:lang w:val="en-GB"/>
              </w:rPr>
              <w:t>2008</w:t>
            </w:r>
          </w:p>
        </w:tc>
        <w:tc>
          <w:tcPr>
            <w:tcW w:w="1548" w:type="dxa"/>
          </w:tcPr>
          <w:p w:rsidR="00C41B78" w:rsidRDefault="00C41B78" w:rsidP="00C41B78">
            <w:pPr>
              <w:jc w:val="center"/>
              <w:rPr>
                <w:lang w:val="en-GB"/>
              </w:rPr>
            </w:pPr>
            <w:r w:rsidRPr="00A311A2">
              <w:rPr>
                <w:lang w:val="en-GB"/>
              </w:rPr>
              <w:t>2009</w:t>
            </w:r>
          </w:p>
        </w:tc>
        <w:tc>
          <w:tcPr>
            <w:tcW w:w="1548" w:type="dxa"/>
          </w:tcPr>
          <w:p w:rsidR="00C41B78" w:rsidRDefault="00C41B78" w:rsidP="00C41B78">
            <w:pPr>
              <w:jc w:val="center"/>
              <w:rPr>
                <w:lang w:val="en-GB"/>
              </w:rPr>
            </w:pPr>
            <w:r w:rsidRPr="00A311A2">
              <w:rPr>
                <w:lang w:val="en-GB"/>
              </w:rPr>
              <w:t>2010</w:t>
            </w:r>
          </w:p>
        </w:tc>
        <w:tc>
          <w:tcPr>
            <w:tcW w:w="1548" w:type="dxa"/>
          </w:tcPr>
          <w:p w:rsidR="00C41B78" w:rsidRDefault="00C41B78" w:rsidP="00C41B78">
            <w:pPr>
              <w:jc w:val="center"/>
              <w:rPr>
                <w:lang w:val="en-GB"/>
              </w:rPr>
            </w:pPr>
            <w:r>
              <w:rPr>
                <w:lang w:val="en-GB"/>
              </w:rPr>
              <w:t>2011</w:t>
            </w:r>
          </w:p>
        </w:tc>
        <w:tc>
          <w:tcPr>
            <w:tcW w:w="1548" w:type="dxa"/>
          </w:tcPr>
          <w:p w:rsidR="00C41B78" w:rsidRDefault="00C41B78" w:rsidP="00C41B78">
            <w:pPr>
              <w:jc w:val="center"/>
              <w:rPr>
                <w:lang w:val="en-GB"/>
              </w:rPr>
            </w:pPr>
            <w:r>
              <w:rPr>
                <w:lang w:val="en-GB"/>
              </w:rPr>
              <w:t>2008 - 2011</w:t>
            </w:r>
          </w:p>
        </w:tc>
      </w:tr>
      <w:tr w:rsidR="00C41B78">
        <w:tc>
          <w:tcPr>
            <w:tcW w:w="1548" w:type="dxa"/>
          </w:tcPr>
          <w:p w:rsidR="00C41B78" w:rsidRDefault="00C41B78" w:rsidP="000639A7">
            <w:pPr>
              <w:rPr>
                <w:lang w:val="en-GB"/>
              </w:rPr>
            </w:pPr>
            <w:r w:rsidRPr="00A311A2">
              <w:rPr>
                <w:b/>
                <w:lang w:val="en-GB"/>
              </w:rPr>
              <w:t>LCEGS</w:t>
            </w:r>
          </w:p>
        </w:tc>
        <w:tc>
          <w:tcPr>
            <w:tcW w:w="1548" w:type="dxa"/>
          </w:tcPr>
          <w:p w:rsidR="00C41B78" w:rsidRDefault="00C41B78" w:rsidP="00C41B78">
            <w:pPr>
              <w:jc w:val="right"/>
              <w:rPr>
                <w:lang w:val="en-GB"/>
              </w:rPr>
            </w:pPr>
            <w:proofErr w:type="gramStart"/>
            <w:r>
              <w:rPr>
                <w:lang w:val="en-GB"/>
              </w:rPr>
              <w:t>n</w:t>
            </w:r>
            <w:proofErr w:type="gramEnd"/>
            <w:r>
              <w:rPr>
                <w:lang w:val="en-GB"/>
              </w:rPr>
              <w:t>/a</w:t>
            </w:r>
          </w:p>
        </w:tc>
        <w:tc>
          <w:tcPr>
            <w:tcW w:w="1548" w:type="dxa"/>
            <w:vAlign w:val="bottom"/>
          </w:tcPr>
          <w:p w:rsidR="00C41B78" w:rsidRDefault="00C41B78" w:rsidP="00C41B78">
            <w:pPr>
              <w:jc w:val="right"/>
              <w:rPr>
                <w:lang w:val="en-GB"/>
              </w:rPr>
            </w:pPr>
            <w:r w:rsidRPr="00A311A2">
              <w:rPr>
                <w:rFonts w:eastAsia="Times New Roman" w:cs="Arial"/>
                <w:sz w:val="20"/>
                <w:szCs w:val="20"/>
                <w:lang w:val="en-GB"/>
              </w:rPr>
              <w:t>-1.3%</w:t>
            </w:r>
          </w:p>
        </w:tc>
        <w:tc>
          <w:tcPr>
            <w:tcW w:w="1548" w:type="dxa"/>
            <w:vAlign w:val="bottom"/>
          </w:tcPr>
          <w:p w:rsidR="00C41B78" w:rsidRDefault="00C41B78" w:rsidP="00C41B78">
            <w:pPr>
              <w:jc w:val="right"/>
              <w:rPr>
                <w:lang w:val="en-GB"/>
              </w:rPr>
            </w:pPr>
            <w:r w:rsidRPr="00A311A2">
              <w:rPr>
                <w:rFonts w:eastAsia="Times New Roman" w:cs="Arial"/>
                <w:sz w:val="20"/>
                <w:szCs w:val="20"/>
                <w:lang w:val="en-GB"/>
              </w:rPr>
              <w:t>3.1%</w:t>
            </w:r>
          </w:p>
        </w:tc>
        <w:tc>
          <w:tcPr>
            <w:tcW w:w="1548" w:type="dxa"/>
            <w:vAlign w:val="bottom"/>
          </w:tcPr>
          <w:p w:rsidR="00C41B78" w:rsidRDefault="00C41B78" w:rsidP="00C41B78">
            <w:pPr>
              <w:jc w:val="right"/>
              <w:rPr>
                <w:lang w:val="en-GB"/>
              </w:rPr>
            </w:pPr>
            <w:r w:rsidRPr="00A311A2">
              <w:rPr>
                <w:rFonts w:eastAsia="Times New Roman" w:cs="Arial"/>
                <w:sz w:val="20"/>
                <w:szCs w:val="20"/>
                <w:lang w:val="en-GB"/>
              </w:rPr>
              <w:t>3.1%</w:t>
            </w:r>
          </w:p>
        </w:tc>
        <w:tc>
          <w:tcPr>
            <w:tcW w:w="1548" w:type="dxa"/>
          </w:tcPr>
          <w:p w:rsidR="00C41B78" w:rsidRDefault="00C41B78" w:rsidP="00C41B78">
            <w:pPr>
              <w:jc w:val="right"/>
              <w:rPr>
                <w:lang w:val="en-GB"/>
              </w:rPr>
            </w:pPr>
            <w:r w:rsidRPr="00A311A2">
              <w:rPr>
                <w:rFonts w:eastAsia="Times New Roman" w:cs="Arial"/>
                <w:sz w:val="20"/>
                <w:szCs w:val="20"/>
                <w:lang w:val="en-GB"/>
              </w:rPr>
              <w:t>4.9%</w:t>
            </w:r>
          </w:p>
        </w:tc>
      </w:tr>
      <w:tr w:rsidR="00C41B78">
        <w:tc>
          <w:tcPr>
            <w:tcW w:w="1548" w:type="dxa"/>
          </w:tcPr>
          <w:p w:rsidR="00C41B78" w:rsidRDefault="00C41B78" w:rsidP="000639A7">
            <w:pPr>
              <w:rPr>
                <w:lang w:val="en-GB"/>
              </w:rPr>
            </w:pPr>
            <w:r w:rsidRPr="00A311A2">
              <w:rPr>
                <w:b/>
                <w:lang w:val="en-GB"/>
              </w:rPr>
              <w:t>GDP</w:t>
            </w:r>
          </w:p>
        </w:tc>
        <w:tc>
          <w:tcPr>
            <w:tcW w:w="1548" w:type="dxa"/>
          </w:tcPr>
          <w:p w:rsidR="00C41B78" w:rsidRDefault="00C41B78" w:rsidP="00C41B78">
            <w:pPr>
              <w:jc w:val="right"/>
              <w:rPr>
                <w:lang w:val="en-GB"/>
              </w:rPr>
            </w:pPr>
            <w:r w:rsidRPr="00A311A2">
              <w:rPr>
                <w:rFonts w:eastAsia="Times New Roman" w:cs="Arial"/>
                <w:sz w:val="20"/>
                <w:szCs w:val="20"/>
                <w:lang w:val="en-GB"/>
              </w:rPr>
              <w:t>1.6%</w:t>
            </w:r>
          </w:p>
        </w:tc>
        <w:tc>
          <w:tcPr>
            <w:tcW w:w="1548" w:type="dxa"/>
          </w:tcPr>
          <w:p w:rsidR="00C41B78" w:rsidRDefault="00C41B78" w:rsidP="00C41B78">
            <w:pPr>
              <w:jc w:val="right"/>
              <w:rPr>
                <w:lang w:val="en-GB"/>
              </w:rPr>
            </w:pPr>
            <w:r w:rsidRPr="00A311A2">
              <w:rPr>
                <w:rFonts w:eastAsia="Times New Roman" w:cs="Arial"/>
                <w:sz w:val="20"/>
                <w:szCs w:val="20"/>
                <w:lang w:val="en-GB"/>
              </w:rPr>
              <w:t>-2.0%</w:t>
            </w:r>
          </w:p>
        </w:tc>
        <w:tc>
          <w:tcPr>
            <w:tcW w:w="1548" w:type="dxa"/>
          </w:tcPr>
          <w:p w:rsidR="00C41B78" w:rsidRDefault="00C41B78" w:rsidP="00C41B78">
            <w:pPr>
              <w:jc w:val="right"/>
              <w:rPr>
                <w:lang w:val="en-GB"/>
              </w:rPr>
            </w:pPr>
            <w:r w:rsidRPr="00A311A2">
              <w:rPr>
                <w:rFonts w:eastAsia="Times New Roman" w:cs="Arial"/>
                <w:sz w:val="20"/>
                <w:szCs w:val="20"/>
                <w:lang w:val="en-GB"/>
              </w:rPr>
              <w:t>2.6%</w:t>
            </w:r>
          </w:p>
        </w:tc>
        <w:tc>
          <w:tcPr>
            <w:tcW w:w="1548" w:type="dxa"/>
          </w:tcPr>
          <w:p w:rsidR="00C41B78" w:rsidRDefault="00C41B78" w:rsidP="00C41B78">
            <w:pPr>
              <w:jc w:val="right"/>
              <w:rPr>
                <w:lang w:val="en-GB"/>
              </w:rPr>
            </w:pPr>
            <w:r w:rsidRPr="00A311A2">
              <w:rPr>
                <w:rFonts w:eastAsia="Times New Roman" w:cs="Arial"/>
                <w:sz w:val="20"/>
                <w:szCs w:val="20"/>
                <w:lang w:val="en-GB"/>
              </w:rPr>
              <w:t>-1.0%</w:t>
            </w:r>
          </w:p>
        </w:tc>
        <w:tc>
          <w:tcPr>
            <w:tcW w:w="1548" w:type="dxa"/>
          </w:tcPr>
          <w:p w:rsidR="00C41B78" w:rsidRDefault="00C41B78" w:rsidP="00C41B78">
            <w:pPr>
              <w:jc w:val="right"/>
              <w:rPr>
                <w:lang w:val="en-GB"/>
              </w:rPr>
            </w:pPr>
            <w:r w:rsidRPr="00A311A2">
              <w:rPr>
                <w:rFonts w:eastAsia="Times New Roman" w:cs="Arial"/>
                <w:sz w:val="20"/>
                <w:szCs w:val="20"/>
                <w:lang w:val="en-GB"/>
              </w:rPr>
              <w:t>1.1%</w:t>
            </w:r>
          </w:p>
        </w:tc>
      </w:tr>
    </w:tbl>
    <w:p w:rsidR="000639A7" w:rsidRPr="00A311A2" w:rsidRDefault="000639A7" w:rsidP="000639A7">
      <w:pPr>
        <w:pStyle w:val="Caption"/>
        <w:rPr>
          <w:lang w:val="en-GB"/>
        </w:rPr>
      </w:pPr>
      <w:bookmarkStart w:id="38" w:name="_Ref377648748"/>
      <w:bookmarkStart w:id="39" w:name="_Toc252202028"/>
      <w:r w:rsidRPr="00A311A2">
        <w:rPr>
          <w:lang w:val="en-GB"/>
        </w:rPr>
        <w:t xml:space="preserve">Table </w:t>
      </w:r>
      <w:r w:rsidRPr="00A311A2">
        <w:rPr>
          <w:lang w:val="en-GB"/>
        </w:rPr>
        <w:fldChar w:fldCharType="begin"/>
      </w:r>
      <w:r w:rsidRPr="00A311A2">
        <w:rPr>
          <w:lang w:val="en-GB"/>
        </w:rPr>
        <w:instrText xml:space="preserve"> SEQ Table \* ARABIC </w:instrText>
      </w:r>
      <w:r w:rsidRPr="00A311A2">
        <w:rPr>
          <w:lang w:val="en-GB"/>
        </w:rPr>
        <w:fldChar w:fldCharType="separate"/>
      </w:r>
      <w:r w:rsidR="00503F5D">
        <w:rPr>
          <w:noProof/>
          <w:lang w:val="en-GB"/>
        </w:rPr>
        <w:t>9</w:t>
      </w:r>
      <w:r w:rsidRPr="00A311A2">
        <w:rPr>
          <w:lang w:val="en-GB"/>
        </w:rPr>
        <w:fldChar w:fldCharType="end"/>
      </w:r>
      <w:bookmarkEnd w:id="38"/>
      <w:r w:rsidR="00503F5D">
        <w:rPr>
          <w:lang w:val="en-GB"/>
        </w:rPr>
        <w:t>:</w:t>
      </w:r>
      <w:r w:rsidRPr="00A311A2">
        <w:rPr>
          <w:lang w:val="en-GB"/>
        </w:rPr>
        <w:t xml:space="preserve"> </w:t>
      </w:r>
      <w:r w:rsidR="00C41B78">
        <w:rPr>
          <w:lang w:val="en-GB"/>
        </w:rPr>
        <w:t>Nominal g</w:t>
      </w:r>
      <w:r w:rsidRPr="00A311A2">
        <w:rPr>
          <w:lang w:val="en-GB"/>
        </w:rPr>
        <w:t xml:space="preserve">rowth rates in </w:t>
      </w:r>
      <w:r w:rsidR="00503F5D">
        <w:rPr>
          <w:lang w:val="en-GB"/>
        </w:rPr>
        <w:t>LCEGS and GDP for Portugal, 2008</w:t>
      </w:r>
      <w:r w:rsidRPr="00A311A2">
        <w:rPr>
          <w:lang w:val="en-GB"/>
        </w:rPr>
        <w:t>-2011</w:t>
      </w:r>
      <w:bookmarkEnd w:id="39"/>
    </w:p>
    <w:p w:rsidR="00F00CF2" w:rsidRPr="00E04A13" w:rsidRDefault="00F00CF2" w:rsidP="00F00CF2">
      <w:pPr>
        <w:pStyle w:val="Heading3"/>
        <w:spacing w:before="360"/>
        <w:rPr>
          <w:lang w:val="en-GB"/>
        </w:rPr>
      </w:pPr>
      <w:bookmarkStart w:id="40" w:name="_Toc251626645"/>
      <w:r w:rsidRPr="00E04A13">
        <w:rPr>
          <w:lang w:val="en-GB"/>
        </w:rPr>
        <w:t>UK</w:t>
      </w:r>
      <w:bookmarkEnd w:id="40"/>
    </w:p>
    <w:p w:rsidR="006E7766" w:rsidRPr="00A311A2" w:rsidRDefault="006E7766" w:rsidP="006E7766">
      <w:pPr>
        <w:rPr>
          <w:lang w:val="en-GB"/>
        </w:rPr>
      </w:pPr>
      <w:r w:rsidRPr="00A311A2">
        <w:rPr>
          <w:lang w:val="en-GB"/>
        </w:rPr>
        <w:t xml:space="preserve">As in most other countries the development of Eco-Industries in the UK has to be understood in the context of the general economic strengths of the UK and the most recent economic developments. </w:t>
      </w:r>
    </w:p>
    <w:p w:rsidR="006E7766" w:rsidRPr="00A311A2" w:rsidRDefault="006E7766" w:rsidP="006E7766">
      <w:pPr>
        <w:rPr>
          <w:lang w:val="en-GB"/>
        </w:rPr>
      </w:pPr>
      <w:r w:rsidRPr="00A311A2">
        <w:rPr>
          <w:lang w:val="en-GB"/>
        </w:rPr>
        <w:t xml:space="preserve">Since the Second World War, the UK economy has transformed from an economy dominated by manufacturing to an economy dominated by service industries. This visible general trend in all developed countries was markedly stronger in the UK than in other countries. One example of strong service industries that have developed in the UK is the international service financial services industry, which includes consultancy and legal services. The importance of financial services in London also paved the way for a more intense and longer lasting economic crisis of 2008/09. The UK economy’s financial sector has only rebounded in 2013, and investment is still very low by any possible comparison. Government spending has also been paired pack very significantly since the </w:t>
      </w:r>
      <w:r>
        <w:rPr>
          <w:lang w:val="en-GB"/>
        </w:rPr>
        <w:t>current</w:t>
      </w:r>
      <w:r w:rsidRPr="00A311A2">
        <w:rPr>
          <w:lang w:val="en-GB"/>
        </w:rPr>
        <w:t xml:space="preserve"> government was elected in May 2009. </w:t>
      </w:r>
    </w:p>
    <w:p w:rsidR="001A1998" w:rsidRPr="00E04A13" w:rsidRDefault="006E7766" w:rsidP="00F00CF2">
      <w:pPr>
        <w:rPr>
          <w:lang w:val="en-GB"/>
        </w:rPr>
      </w:pPr>
      <w:r w:rsidRPr="00A311A2">
        <w:rPr>
          <w:lang w:val="en-GB"/>
        </w:rPr>
        <w:t xml:space="preserve">Considering this context, the growth of Eco-Industries in recent years in the UK was especially remarkable. The UK has developed a very strong market position, especially in Green service industries. In 2011 the UK was the second biggest provider of carbon finance services worldwide and also had a strong market position in other consultancy services. Other than that the UK has a strong position in nearly all sub-sectors, being the sixth biggest producer of LCEGS (after the US, China, Germany, India, and Japan) in 18 of the 24 sub-sectors. </w:t>
      </w:r>
    </w:p>
    <w:tbl>
      <w:tblPr>
        <w:tblStyle w:val="TableGrid"/>
        <w:tblW w:w="0" w:type="auto"/>
        <w:tblLook w:val="04A0"/>
      </w:tblPr>
      <w:tblGrid>
        <w:gridCol w:w="5238"/>
        <w:gridCol w:w="2025"/>
        <w:gridCol w:w="2025"/>
      </w:tblGrid>
      <w:tr w:rsidR="001A1998" w:rsidRPr="00E04A13">
        <w:trPr>
          <w:trHeight w:val="288"/>
        </w:trPr>
        <w:tc>
          <w:tcPr>
            <w:tcW w:w="5238" w:type="dxa"/>
            <w:vAlign w:val="bottom"/>
          </w:tcPr>
          <w:p w:rsidR="0018207C" w:rsidRPr="00E04A13" w:rsidRDefault="0018207C">
            <w:pPr>
              <w:rPr>
                <w:rFonts w:cs="Arial"/>
                <w:b/>
                <w:sz w:val="20"/>
                <w:szCs w:val="20"/>
                <w:lang w:val="en-GB"/>
              </w:rPr>
            </w:pPr>
          </w:p>
        </w:tc>
        <w:tc>
          <w:tcPr>
            <w:tcW w:w="2025" w:type="dxa"/>
            <w:vAlign w:val="center"/>
          </w:tcPr>
          <w:p w:rsidR="001A1998" w:rsidRPr="00E04A13" w:rsidRDefault="001A1998" w:rsidP="001A1998">
            <w:pPr>
              <w:jc w:val="center"/>
              <w:rPr>
                <w:b/>
                <w:sz w:val="20"/>
                <w:lang w:val="en-GB"/>
              </w:rPr>
            </w:pPr>
            <w:r w:rsidRPr="00E04A13">
              <w:rPr>
                <w:b/>
                <w:sz w:val="20"/>
                <w:lang w:val="en-GB"/>
              </w:rPr>
              <w:t>Global market share of UK industry</w:t>
            </w:r>
          </w:p>
        </w:tc>
        <w:tc>
          <w:tcPr>
            <w:tcW w:w="2025" w:type="dxa"/>
            <w:vAlign w:val="center"/>
          </w:tcPr>
          <w:p w:rsidR="001A1998" w:rsidRPr="00E04A13" w:rsidRDefault="001A1998" w:rsidP="001A1998">
            <w:pPr>
              <w:jc w:val="center"/>
              <w:rPr>
                <w:b/>
                <w:sz w:val="20"/>
                <w:lang w:val="en-GB"/>
              </w:rPr>
            </w:pPr>
            <w:r w:rsidRPr="00E04A13">
              <w:rPr>
                <w:b/>
                <w:sz w:val="20"/>
                <w:lang w:val="en-GB"/>
              </w:rPr>
              <w:t>Growth 2007-2011</w:t>
            </w:r>
          </w:p>
        </w:tc>
      </w:tr>
      <w:tr w:rsidR="001A1998" w:rsidRPr="00E04A13">
        <w:trPr>
          <w:trHeight w:val="288"/>
        </w:trPr>
        <w:tc>
          <w:tcPr>
            <w:tcW w:w="5238" w:type="dxa"/>
            <w:vAlign w:val="bottom"/>
          </w:tcPr>
          <w:p w:rsidR="001A1998" w:rsidRPr="00E04A13" w:rsidRDefault="001A1998">
            <w:pPr>
              <w:rPr>
                <w:rFonts w:cs="Arial"/>
                <w:sz w:val="20"/>
                <w:szCs w:val="20"/>
                <w:lang w:val="en-GB"/>
              </w:rPr>
            </w:pPr>
            <w:r w:rsidRPr="00E04A13">
              <w:rPr>
                <w:rFonts w:cs="Arial"/>
                <w:sz w:val="20"/>
                <w:szCs w:val="20"/>
                <w:lang w:val="en-GB"/>
              </w:rPr>
              <w:t>Air Pollution</w:t>
            </w:r>
          </w:p>
        </w:tc>
        <w:tc>
          <w:tcPr>
            <w:tcW w:w="2025" w:type="dxa"/>
            <w:vAlign w:val="center"/>
          </w:tcPr>
          <w:p w:rsidR="001A1998" w:rsidRPr="00E04A13" w:rsidRDefault="001A1998" w:rsidP="00BE7E88">
            <w:pPr>
              <w:jc w:val="right"/>
              <w:rPr>
                <w:rFonts w:cs="Arial"/>
                <w:sz w:val="20"/>
                <w:szCs w:val="20"/>
                <w:lang w:val="en-GB"/>
              </w:rPr>
            </w:pPr>
            <w:r w:rsidRPr="00E04A13">
              <w:rPr>
                <w:rFonts w:cs="Arial"/>
                <w:sz w:val="20"/>
                <w:szCs w:val="20"/>
                <w:lang w:val="en-GB"/>
              </w:rPr>
              <w:t>3</w:t>
            </w:r>
            <w:r w:rsidR="00BE7E88" w:rsidRPr="00E04A13">
              <w:rPr>
                <w:rFonts w:cs="Arial"/>
                <w:sz w:val="20"/>
                <w:szCs w:val="20"/>
                <w:lang w:val="en-GB"/>
              </w:rPr>
              <w:t>.</w:t>
            </w:r>
            <w:r w:rsidRPr="00E04A13">
              <w:rPr>
                <w:rFonts w:cs="Arial"/>
                <w:sz w:val="20"/>
                <w:szCs w:val="20"/>
                <w:lang w:val="en-GB"/>
              </w:rPr>
              <w:t>4%</w:t>
            </w:r>
          </w:p>
        </w:tc>
        <w:tc>
          <w:tcPr>
            <w:tcW w:w="2025" w:type="dxa"/>
            <w:vAlign w:val="center"/>
          </w:tcPr>
          <w:p w:rsidR="001A1998" w:rsidRPr="00E04A13" w:rsidRDefault="001A1998" w:rsidP="00BE7E88">
            <w:pPr>
              <w:jc w:val="right"/>
              <w:rPr>
                <w:rFonts w:cs="Arial"/>
                <w:sz w:val="20"/>
                <w:szCs w:val="20"/>
                <w:lang w:val="en-GB"/>
              </w:rPr>
            </w:pPr>
            <w:r w:rsidRPr="00E04A13">
              <w:rPr>
                <w:rFonts w:cs="Arial"/>
                <w:sz w:val="20"/>
                <w:szCs w:val="20"/>
                <w:lang w:val="en-GB"/>
              </w:rPr>
              <w:t>8</w:t>
            </w:r>
            <w:r w:rsidR="00BE7E88" w:rsidRPr="00E04A13">
              <w:rPr>
                <w:rFonts w:cs="Arial"/>
                <w:sz w:val="20"/>
                <w:szCs w:val="20"/>
                <w:lang w:val="en-GB"/>
              </w:rPr>
              <w:t>.</w:t>
            </w:r>
            <w:r w:rsidRPr="00E04A13">
              <w:rPr>
                <w:rFonts w:cs="Arial"/>
                <w:sz w:val="20"/>
                <w:szCs w:val="20"/>
                <w:lang w:val="en-GB"/>
              </w:rPr>
              <w:t>5%</w:t>
            </w:r>
          </w:p>
        </w:tc>
      </w:tr>
      <w:tr w:rsidR="001A1998" w:rsidRPr="00E04A13">
        <w:trPr>
          <w:trHeight w:val="288"/>
        </w:trPr>
        <w:tc>
          <w:tcPr>
            <w:tcW w:w="5238" w:type="dxa"/>
            <w:vAlign w:val="bottom"/>
          </w:tcPr>
          <w:p w:rsidR="001A1998" w:rsidRPr="00E04A13" w:rsidRDefault="001A1998">
            <w:pPr>
              <w:rPr>
                <w:rFonts w:cs="Arial"/>
                <w:sz w:val="20"/>
                <w:szCs w:val="20"/>
                <w:lang w:val="en-GB"/>
              </w:rPr>
            </w:pPr>
            <w:r w:rsidRPr="00E04A13">
              <w:rPr>
                <w:rFonts w:cs="Arial"/>
                <w:sz w:val="20"/>
                <w:szCs w:val="20"/>
                <w:lang w:val="en-GB"/>
              </w:rPr>
              <w:t>Contaminated Land Reclamation &amp; Remediation</w:t>
            </w:r>
          </w:p>
        </w:tc>
        <w:tc>
          <w:tcPr>
            <w:tcW w:w="2025" w:type="dxa"/>
            <w:vAlign w:val="center"/>
          </w:tcPr>
          <w:p w:rsidR="001A1998" w:rsidRPr="00E04A13" w:rsidRDefault="001A1998" w:rsidP="00BE7E88">
            <w:pPr>
              <w:jc w:val="right"/>
              <w:rPr>
                <w:rFonts w:cs="Arial"/>
                <w:sz w:val="20"/>
                <w:szCs w:val="20"/>
                <w:lang w:val="en-GB"/>
              </w:rPr>
            </w:pPr>
            <w:r w:rsidRPr="00E04A13">
              <w:rPr>
                <w:rFonts w:cs="Arial"/>
                <w:sz w:val="20"/>
                <w:szCs w:val="20"/>
                <w:lang w:val="en-GB"/>
              </w:rPr>
              <w:t>3</w:t>
            </w:r>
            <w:r w:rsidR="00BE7E88" w:rsidRPr="00E04A13">
              <w:rPr>
                <w:rFonts w:cs="Arial"/>
                <w:sz w:val="20"/>
                <w:szCs w:val="20"/>
                <w:lang w:val="en-GB"/>
              </w:rPr>
              <w:t>.</w:t>
            </w:r>
            <w:r w:rsidRPr="00E04A13">
              <w:rPr>
                <w:rFonts w:cs="Arial"/>
                <w:sz w:val="20"/>
                <w:szCs w:val="20"/>
                <w:lang w:val="en-GB"/>
              </w:rPr>
              <w:t>4%</w:t>
            </w:r>
          </w:p>
        </w:tc>
        <w:tc>
          <w:tcPr>
            <w:tcW w:w="2025" w:type="dxa"/>
            <w:vAlign w:val="center"/>
          </w:tcPr>
          <w:p w:rsidR="001A1998" w:rsidRPr="00E04A13" w:rsidRDefault="001A1998" w:rsidP="00BE7E88">
            <w:pPr>
              <w:jc w:val="right"/>
              <w:rPr>
                <w:rFonts w:cs="Arial"/>
                <w:sz w:val="20"/>
                <w:szCs w:val="20"/>
                <w:lang w:val="en-GB"/>
              </w:rPr>
            </w:pPr>
            <w:r w:rsidRPr="00E04A13">
              <w:rPr>
                <w:rFonts w:cs="Arial"/>
                <w:sz w:val="20"/>
                <w:szCs w:val="20"/>
                <w:lang w:val="en-GB"/>
              </w:rPr>
              <w:t>11</w:t>
            </w:r>
            <w:r w:rsidR="00BE7E88" w:rsidRPr="00E04A13">
              <w:rPr>
                <w:rFonts w:cs="Arial"/>
                <w:sz w:val="20"/>
                <w:szCs w:val="20"/>
                <w:lang w:val="en-GB"/>
              </w:rPr>
              <w:t>.</w:t>
            </w:r>
            <w:r w:rsidRPr="00E04A13">
              <w:rPr>
                <w:rFonts w:cs="Arial"/>
                <w:sz w:val="20"/>
                <w:szCs w:val="20"/>
                <w:lang w:val="en-GB"/>
              </w:rPr>
              <w:t>6%</w:t>
            </w:r>
          </w:p>
        </w:tc>
      </w:tr>
      <w:tr w:rsidR="001A1998" w:rsidRPr="00E04A13">
        <w:trPr>
          <w:trHeight w:val="288"/>
        </w:trPr>
        <w:tc>
          <w:tcPr>
            <w:tcW w:w="5238" w:type="dxa"/>
            <w:vAlign w:val="bottom"/>
          </w:tcPr>
          <w:p w:rsidR="001A1998" w:rsidRPr="00E04A13" w:rsidRDefault="001A1998">
            <w:pPr>
              <w:rPr>
                <w:rFonts w:cs="Arial"/>
                <w:sz w:val="20"/>
                <w:szCs w:val="20"/>
                <w:lang w:val="en-GB"/>
              </w:rPr>
            </w:pPr>
            <w:r w:rsidRPr="00E04A13">
              <w:rPr>
                <w:rFonts w:cs="Arial"/>
                <w:sz w:val="20"/>
                <w:szCs w:val="20"/>
                <w:lang w:val="en-GB"/>
              </w:rPr>
              <w:t>Environmental Consultancy and Related Services</w:t>
            </w:r>
          </w:p>
        </w:tc>
        <w:tc>
          <w:tcPr>
            <w:tcW w:w="2025" w:type="dxa"/>
            <w:vAlign w:val="center"/>
          </w:tcPr>
          <w:p w:rsidR="001A1998" w:rsidRPr="00E04A13" w:rsidRDefault="001A1998" w:rsidP="00BE7E88">
            <w:pPr>
              <w:jc w:val="right"/>
              <w:rPr>
                <w:rFonts w:cs="Arial"/>
                <w:sz w:val="20"/>
                <w:szCs w:val="20"/>
                <w:lang w:val="en-GB"/>
              </w:rPr>
            </w:pPr>
            <w:r w:rsidRPr="00E04A13">
              <w:rPr>
                <w:rFonts w:cs="Arial"/>
                <w:sz w:val="20"/>
                <w:szCs w:val="20"/>
                <w:lang w:val="en-GB"/>
              </w:rPr>
              <w:t>3</w:t>
            </w:r>
            <w:r w:rsidR="00BE7E88" w:rsidRPr="00E04A13">
              <w:rPr>
                <w:rFonts w:cs="Arial"/>
                <w:sz w:val="20"/>
                <w:szCs w:val="20"/>
                <w:lang w:val="en-GB"/>
              </w:rPr>
              <w:t>.</w:t>
            </w:r>
            <w:r w:rsidRPr="00E04A13">
              <w:rPr>
                <w:rFonts w:cs="Arial"/>
                <w:sz w:val="20"/>
                <w:szCs w:val="20"/>
                <w:lang w:val="en-GB"/>
              </w:rPr>
              <w:t>2%</w:t>
            </w:r>
          </w:p>
        </w:tc>
        <w:tc>
          <w:tcPr>
            <w:tcW w:w="2025" w:type="dxa"/>
            <w:vAlign w:val="center"/>
          </w:tcPr>
          <w:p w:rsidR="001A1998" w:rsidRPr="00E04A13" w:rsidRDefault="001A1998" w:rsidP="00BE7E88">
            <w:pPr>
              <w:jc w:val="right"/>
              <w:rPr>
                <w:rFonts w:cs="Arial"/>
                <w:sz w:val="20"/>
                <w:szCs w:val="20"/>
                <w:lang w:val="en-GB"/>
              </w:rPr>
            </w:pPr>
            <w:r w:rsidRPr="00E04A13">
              <w:rPr>
                <w:rFonts w:cs="Arial"/>
                <w:sz w:val="20"/>
                <w:szCs w:val="20"/>
                <w:lang w:val="en-GB"/>
              </w:rPr>
              <w:t>13</w:t>
            </w:r>
            <w:r w:rsidR="00BE7E88" w:rsidRPr="00E04A13">
              <w:rPr>
                <w:rFonts w:cs="Arial"/>
                <w:sz w:val="20"/>
                <w:szCs w:val="20"/>
                <w:lang w:val="en-GB"/>
              </w:rPr>
              <w:t>.</w:t>
            </w:r>
            <w:r w:rsidRPr="00E04A13">
              <w:rPr>
                <w:rFonts w:cs="Arial"/>
                <w:sz w:val="20"/>
                <w:szCs w:val="20"/>
                <w:lang w:val="en-GB"/>
              </w:rPr>
              <w:t>9%</w:t>
            </w:r>
          </w:p>
        </w:tc>
      </w:tr>
      <w:tr w:rsidR="001A1998" w:rsidRPr="00E04A13">
        <w:trPr>
          <w:trHeight w:val="288"/>
        </w:trPr>
        <w:tc>
          <w:tcPr>
            <w:tcW w:w="5238" w:type="dxa"/>
            <w:vAlign w:val="bottom"/>
          </w:tcPr>
          <w:p w:rsidR="001A1998" w:rsidRPr="00E04A13" w:rsidRDefault="001A1998">
            <w:pPr>
              <w:rPr>
                <w:rFonts w:cs="Arial"/>
                <w:sz w:val="20"/>
                <w:szCs w:val="20"/>
                <w:lang w:val="en-GB"/>
              </w:rPr>
            </w:pPr>
            <w:r w:rsidRPr="00E04A13">
              <w:rPr>
                <w:rFonts w:cs="Arial"/>
                <w:sz w:val="20"/>
                <w:szCs w:val="20"/>
                <w:lang w:val="en-GB"/>
              </w:rPr>
              <w:t>Environmental Monitoring, Instrumentation and Analysis</w:t>
            </w:r>
          </w:p>
        </w:tc>
        <w:tc>
          <w:tcPr>
            <w:tcW w:w="2025" w:type="dxa"/>
            <w:vAlign w:val="center"/>
          </w:tcPr>
          <w:p w:rsidR="001A1998" w:rsidRPr="00E04A13" w:rsidRDefault="001A1998" w:rsidP="00BE7E88">
            <w:pPr>
              <w:jc w:val="right"/>
              <w:rPr>
                <w:rFonts w:cs="Arial"/>
                <w:sz w:val="20"/>
                <w:szCs w:val="20"/>
                <w:lang w:val="en-GB"/>
              </w:rPr>
            </w:pPr>
            <w:r w:rsidRPr="00E04A13">
              <w:rPr>
                <w:rFonts w:cs="Arial"/>
                <w:sz w:val="20"/>
                <w:szCs w:val="20"/>
                <w:lang w:val="en-GB"/>
              </w:rPr>
              <w:t>3</w:t>
            </w:r>
            <w:r w:rsidR="00BE7E88" w:rsidRPr="00E04A13">
              <w:rPr>
                <w:rFonts w:cs="Arial"/>
                <w:sz w:val="20"/>
                <w:szCs w:val="20"/>
                <w:lang w:val="en-GB"/>
              </w:rPr>
              <w:t>.</w:t>
            </w:r>
            <w:r w:rsidRPr="00E04A13">
              <w:rPr>
                <w:rFonts w:cs="Arial"/>
                <w:sz w:val="20"/>
                <w:szCs w:val="20"/>
                <w:lang w:val="en-GB"/>
              </w:rPr>
              <w:t>5%</w:t>
            </w:r>
          </w:p>
        </w:tc>
        <w:tc>
          <w:tcPr>
            <w:tcW w:w="2025" w:type="dxa"/>
            <w:vAlign w:val="center"/>
          </w:tcPr>
          <w:p w:rsidR="001A1998" w:rsidRPr="00E04A13" w:rsidRDefault="001A1998" w:rsidP="00BE7E88">
            <w:pPr>
              <w:jc w:val="right"/>
              <w:rPr>
                <w:rFonts w:cs="Arial"/>
                <w:sz w:val="20"/>
                <w:szCs w:val="20"/>
                <w:lang w:val="en-GB"/>
              </w:rPr>
            </w:pPr>
            <w:r w:rsidRPr="00E04A13">
              <w:rPr>
                <w:rFonts w:cs="Arial"/>
                <w:sz w:val="20"/>
                <w:szCs w:val="20"/>
                <w:lang w:val="en-GB"/>
              </w:rPr>
              <w:t>14</w:t>
            </w:r>
            <w:r w:rsidR="00BE7E88" w:rsidRPr="00E04A13">
              <w:rPr>
                <w:rFonts w:cs="Arial"/>
                <w:sz w:val="20"/>
                <w:szCs w:val="20"/>
                <w:lang w:val="en-GB"/>
              </w:rPr>
              <w:t>.</w:t>
            </w:r>
            <w:r w:rsidRPr="00E04A13">
              <w:rPr>
                <w:rFonts w:cs="Arial"/>
                <w:sz w:val="20"/>
                <w:szCs w:val="20"/>
                <w:lang w:val="en-GB"/>
              </w:rPr>
              <w:t>7%</w:t>
            </w:r>
          </w:p>
        </w:tc>
      </w:tr>
      <w:tr w:rsidR="001A1998" w:rsidRPr="00E04A13">
        <w:trPr>
          <w:trHeight w:val="288"/>
        </w:trPr>
        <w:tc>
          <w:tcPr>
            <w:tcW w:w="5238" w:type="dxa"/>
            <w:vAlign w:val="bottom"/>
          </w:tcPr>
          <w:p w:rsidR="001A1998" w:rsidRPr="00E04A13" w:rsidRDefault="001A1998">
            <w:pPr>
              <w:rPr>
                <w:rFonts w:cs="Arial"/>
                <w:sz w:val="20"/>
                <w:szCs w:val="20"/>
                <w:lang w:val="en-GB"/>
              </w:rPr>
            </w:pPr>
            <w:r w:rsidRPr="00E04A13">
              <w:rPr>
                <w:rFonts w:cs="Arial"/>
                <w:sz w:val="20"/>
                <w:szCs w:val="20"/>
                <w:lang w:val="en-GB"/>
              </w:rPr>
              <w:t>Marine Pollution Control</w:t>
            </w:r>
          </w:p>
        </w:tc>
        <w:tc>
          <w:tcPr>
            <w:tcW w:w="2025" w:type="dxa"/>
            <w:vAlign w:val="center"/>
          </w:tcPr>
          <w:p w:rsidR="001A1998" w:rsidRPr="00E04A13" w:rsidRDefault="001A1998" w:rsidP="00BE7E88">
            <w:pPr>
              <w:jc w:val="right"/>
              <w:rPr>
                <w:rFonts w:cs="Arial"/>
                <w:sz w:val="20"/>
                <w:szCs w:val="20"/>
                <w:lang w:val="en-GB"/>
              </w:rPr>
            </w:pPr>
            <w:r w:rsidRPr="00E04A13">
              <w:rPr>
                <w:rFonts w:cs="Arial"/>
                <w:sz w:val="20"/>
                <w:szCs w:val="20"/>
                <w:lang w:val="en-GB"/>
              </w:rPr>
              <w:t>3</w:t>
            </w:r>
            <w:r w:rsidR="00BE7E88" w:rsidRPr="00E04A13">
              <w:rPr>
                <w:rFonts w:cs="Arial"/>
                <w:sz w:val="20"/>
                <w:szCs w:val="20"/>
                <w:lang w:val="en-GB"/>
              </w:rPr>
              <w:t>.</w:t>
            </w:r>
            <w:r w:rsidRPr="00E04A13">
              <w:rPr>
                <w:rFonts w:cs="Arial"/>
                <w:sz w:val="20"/>
                <w:szCs w:val="20"/>
                <w:lang w:val="en-GB"/>
              </w:rPr>
              <w:t>5%</w:t>
            </w:r>
          </w:p>
        </w:tc>
        <w:tc>
          <w:tcPr>
            <w:tcW w:w="2025" w:type="dxa"/>
            <w:vAlign w:val="center"/>
          </w:tcPr>
          <w:p w:rsidR="001A1998" w:rsidRPr="00E04A13" w:rsidRDefault="001A1998" w:rsidP="00BE7E88">
            <w:pPr>
              <w:jc w:val="right"/>
              <w:rPr>
                <w:rFonts w:cs="Arial"/>
                <w:sz w:val="20"/>
                <w:szCs w:val="20"/>
                <w:lang w:val="en-GB"/>
              </w:rPr>
            </w:pPr>
            <w:r w:rsidRPr="00E04A13">
              <w:rPr>
                <w:rFonts w:cs="Arial"/>
                <w:sz w:val="20"/>
                <w:szCs w:val="20"/>
                <w:lang w:val="en-GB"/>
              </w:rPr>
              <w:t>15</w:t>
            </w:r>
            <w:r w:rsidR="00BE7E88" w:rsidRPr="00E04A13">
              <w:rPr>
                <w:rFonts w:cs="Arial"/>
                <w:sz w:val="20"/>
                <w:szCs w:val="20"/>
                <w:lang w:val="en-GB"/>
              </w:rPr>
              <w:t>.</w:t>
            </w:r>
            <w:r w:rsidRPr="00E04A13">
              <w:rPr>
                <w:rFonts w:cs="Arial"/>
                <w:sz w:val="20"/>
                <w:szCs w:val="20"/>
                <w:lang w:val="en-GB"/>
              </w:rPr>
              <w:t>8%</w:t>
            </w:r>
          </w:p>
        </w:tc>
      </w:tr>
      <w:tr w:rsidR="001A1998" w:rsidRPr="00E04A13">
        <w:trPr>
          <w:trHeight w:val="288"/>
        </w:trPr>
        <w:tc>
          <w:tcPr>
            <w:tcW w:w="5238" w:type="dxa"/>
            <w:vAlign w:val="bottom"/>
          </w:tcPr>
          <w:p w:rsidR="001A1998" w:rsidRPr="00E04A13" w:rsidRDefault="001A1998">
            <w:pPr>
              <w:rPr>
                <w:rFonts w:cs="Arial"/>
                <w:sz w:val="20"/>
                <w:szCs w:val="20"/>
                <w:lang w:val="en-GB"/>
              </w:rPr>
            </w:pPr>
            <w:r w:rsidRPr="00E04A13">
              <w:rPr>
                <w:rFonts w:cs="Arial"/>
                <w:sz w:val="20"/>
                <w:szCs w:val="20"/>
                <w:lang w:val="en-GB"/>
              </w:rPr>
              <w:t>Noise &amp; Vibration Control</w:t>
            </w:r>
          </w:p>
        </w:tc>
        <w:tc>
          <w:tcPr>
            <w:tcW w:w="2025" w:type="dxa"/>
            <w:vAlign w:val="center"/>
          </w:tcPr>
          <w:p w:rsidR="001A1998" w:rsidRPr="00E04A13" w:rsidRDefault="001A1998" w:rsidP="00BE7E88">
            <w:pPr>
              <w:jc w:val="right"/>
              <w:rPr>
                <w:rFonts w:cs="Arial"/>
                <w:sz w:val="20"/>
                <w:szCs w:val="20"/>
                <w:lang w:val="en-GB"/>
              </w:rPr>
            </w:pPr>
            <w:r w:rsidRPr="00E04A13">
              <w:rPr>
                <w:rFonts w:cs="Arial"/>
                <w:sz w:val="20"/>
                <w:szCs w:val="20"/>
                <w:lang w:val="en-GB"/>
              </w:rPr>
              <w:t>3</w:t>
            </w:r>
            <w:r w:rsidR="00BE7E88" w:rsidRPr="00E04A13">
              <w:rPr>
                <w:rFonts w:cs="Arial"/>
                <w:sz w:val="20"/>
                <w:szCs w:val="20"/>
                <w:lang w:val="en-GB"/>
              </w:rPr>
              <w:t>.</w:t>
            </w:r>
            <w:r w:rsidRPr="00E04A13">
              <w:rPr>
                <w:rFonts w:cs="Arial"/>
                <w:sz w:val="20"/>
                <w:szCs w:val="20"/>
                <w:lang w:val="en-GB"/>
              </w:rPr>
              <w:t>3%</w:t>
            </w:r>
          </w:p>
        </w:tc>
        <w:tc>
          <w:tcPr>
            <w:tcW w:w="2025" w:type="dxa"/>
            <w:vAlign w:val="center"/>
          </w:tcPr>
          <w:p w:rsidR="001A1998" w:rsidRPr="00E04A13" w:rsidRDefault="001A1998" w:rsidP="00BE7E88">
            <w:pPr>
              <w:jc w:val="right"/>
              <w:rPr>
                <w:rFonts w:cs="Arial"/>
                <w:sz w:val="20"/>
                <w:szCs w:val="20"/>
                <w:lang w:val="en-GB"/>
              </w:rPr>
            </w:pPr>
            <w:r w:rsidRPr="00E04A13">
              <w:rPr>
                <w:rFonts w:cs="Arial"/>
                <w:sz w:val="20"/>
                <w:szCs w:val="20"/>
                <w:lang w:val="en-GB"/>
              </w:rPr>
              <w:t>16</w:t>
            </w:r>
            <w:r w:rsidR="00BE7E88" w:rsidRPr="00E04A13">
              <w:rPr>
                <w:rFonts w:cs="Arial"/>
                <w:sz w:val="20"/>
                <w:szCs w:val="20"/>
                <w:lang w:val="en-GB"/>
              </w:rPr>
              <w:t>.</w:t>
            </w:r>
            <w:r w:rsidRPr="00E04A13">
              <w:rPr>
                <w:rFonts w:cs="Arial"/>
                <w:sz w:val="20"/>
                <w:szCs w:val="20"/>
                <w:lang w:val="en-GB"/>
              </w:rPr>
              <w:t>1%</w:t>
            </w:r>
          </w:p>
        </w:tc>
      </w:tr>
      <w:tr w:rsidR="001A1998" w:rsidRPr="00E04A13">
        <w:trPr>
          <w:trHeight w:val="288"/>
        </w:trPr>
        <w:tc>
          <w:tcPr>
            <w:tcW w:w="5238" w:type="dxa"/>
            <w:vAlign w:val="bottom"/>
          </w:tcPr>
          <w:p w:rsidR="001A1998" w:rsidRPr="00E04A13" w:rsidRDefault="001A1998">
            <w:pPr>
              <w:rPr>
                <w:rFonts w:cs="Arial"/>
                <w:sz w:val="20"/>
                <w:szCs w:val="20"/>
                <w:lang w:val="en-GB"/>
              </w:rPr>
            </w:pPr>
            <w:r w:rsidRPr="00E04A13">
              <w:rPr>
                <w:rFonts w:cs="Arial"/>
                <w:sz w:val="20"/>
                <w:szCs w:val="20"/>
                <w:lang w:val="en-GB"/>
              </w:rPr>
              <w:t>Recovery and Recycling</w:t>
            </w:r>
          </w:p>
        </w:tc>
        <w:tc>
          <w:tcPr>
            <w:tcW w:w="2025" w:type="dxa"/>
            <w:vAlign w:val="center"/>
          </w:tcPr>
          <w:p w:rsidR="001A1998" w:rsidRPr="00E04A13" w:rsidRDefault="001A1998" w:rsidP="00BE7E88">
            <w:pPr>
              <w:jc w:val="right"/>
              <w:rPr>
                <w:rFonts w:cs="Arial"/>
                <w:sz w:val="20"/>
                <w:szCs w:val="20"/>
                <w:lang w:val="en-GB"/>
              </w:rPr>
            </w:pPr>
            <w:r w:rsidRPr="00E04A13">
              <w:rPr>
                <w:rFonts w:cs="Arial"/>
                <w:sz w:val="20"/>
                <w:szCs w:val="20"/>
                <w:lang w:val="en-GB"/>
              </w:rPr>
              <w:t>3</w:t>
            </w:r>
            <w:r w:rsidR="00BE7E88" w:rsidRPr="00E04A13">
              <w:rPr>
                <w:rFonts w:cs="Arial"/>
                <w:sz w:val="20"/>
                <w:szCs w:val="20"/>
                <w:lang w:val="en-GB"/>
              </w:rPr>
              <w:t>.</w:t>
            </w:r>
            <w:r w:rsidRPr="00E04A13">
              <w:rPr>
                <w:rFonts w:cs="Arial"/>
                <w:sz w:val="20"/>
                <w:szCs w:val="20"/>
                <w:lang w:val="en-GB"/>
              </w:rPr>
              <w:t>6%</w:t>
            </w:r>
          </w:p>
        </w:tc>
        <w:tc>
          <w:tcPr>
            <w:tcW w:w="2025" w:type="dxa"/>
            <w:vAlign w:val="center"/>
          </w:tcPr>
          <w:p w:rsidR="001A1998" w:rsidRPr="00E04A13" w:rsidRDefault="001A1998" w:rsidP="00BE7E88">
            <w:pPr>
              <w:jc w:val="right"/>
              <w:rPr>
                <w:rFonts w:cs="Arial"/>
                <w:sz w:val="20"/>
                <w:szCs w:val="20"/>
                <w:lang w:val="en-GB"/>
              </w:rPr>
            </w:pPr>
            <w:r w:rsidRPr="00E04A13">
              <w:rPr>
                <w:rFonts w:cs="Arial"/>
                <w:sz w:val="20"/>
                <w:szCs w:val="20"/>
                <w:lang w:val="en-GB"/>
              </w:rPr>
              <w:t>14</w:t>
            </w:r>
            <w:r w:rsidR="00BE7E88" w:rsidRPr="00E04A13">
              <w:rPr>
                <w:rFonts w:cs="Arial"/>
                <w:sz w:val="20"/>
                <w:szCs w:val="20"/>
                <w:lang w:val="en-GB"/>
              </w:rPr>
              <w:t>.</w:t>
            </w:r>
            <w:r w:rsidRPr="00E04A13">
              <w:rPr>
                <w:rFonts w:cs="Arial"/>
                <w:sz w:val="20"/>
                <w:szCs w:val="20"/>
                <w:lang w:val="en-GB"/>
              </w:rPr>
              <w:t>1%</w:t>
            </w:r>
          </w:p>
        </w:tc>
      </w:tr>
      <w:tr w:rsidR="001A1998" w:rsidRPr="00E04A13">
        <w:trPr>
          <w:trHeight w:val="288"/>
        </w:trPr>
        <w:tc>
          <w:tcPr>
            <w:tcW w:w="5238" w:type="dxa"/>
            <w:vAlign w:val="bottom"/>
          </w:tcPr>
          <w:p w:rsidR="001A1998" w:rsidRPr="00E04A13" w:rsidRDefault="001A1998">
            <w:pPr>
              <w:rPr>
                <w:rFonts w:cs="Arial"/>
                <w:sz w:val="20"/>
                <w:szCs w:val="20"/>
                <w:lang w:val="en-GB"/>
              </w:rPr>
            </w:pPr>
            <w:r w:rsidRPr="00E04A13">
              <w:rPr>
                <w:rFonts w:cs="Arial"/>
                <w:sz w:val="20"/>
                <w:szCs w:val="20"/>
                <w:lang w:val="en-GB"/>
              </w:rPr>
              <w:t>Waste Management</w:t>
            </w:r>
          </w:p>
        </w:tc>
        <w:tc>
          <w:tcPr>
            <w:tcW w:w="2025" w:type="dxa"/>
            <w:vAlign w:val="center"/>
          </w:tcPr>
          <w:p w:rsidR="001A1998" w:rsidRPr="00E04A13" w:rsidRDefault="001A1998" w:rsidP="00BE7E88">
            <w:pPr>
              <w:jc w:val="right"/>
              <w:rPr>
                <w:rFonts w:cs="Arial"/>
                <w:sz w:val="20"/>
                <w:szCs w:val="20"/>
                <w:lang w:val="en-GB"/>
              </w:rPr>
            </w:pPr>
            <w:r w:rsidRPr="00E04A13">
              <w:rPr>
                <w:rFonts w:cs="Arial"/>
                <w:sz w:val="20"/>
                <w:szCs w:val="20"/>
                <w:lang w:val="en-GB"/>
              </w:rPr>
              <w:t>3</w:t>
            </w:r>
            <w:r w:rsidR="00BE7E88" w:rsidRPr="00E04A13">
              <w:rPr>
                <w:rFonts w:cs="Arial"/>
                <w:sz w:val="20"/>
                <w:szCs w:val="20"/>
                <w:lang w:val="en-GB"/>
              </w:rPr>
              <w:t>.</w:t>
            </w:r>
            <w:r w:rsidRPr="00E04A13">
              <w:rPr>
                <w:rFonts w:cs="Arial"/>
                <w:sz w:val="20"/>
                <w:szCs w:val="20"/>
                <w:lang w:val="en-GB"/>
              </w:rPr>
              <w:t>4%</w:t>
            </w:r>
          </w:p>
        </w:tc>
        <w:tc>
          <w:tcPr>
            <w:tcW w:w="2025" w:type="dxa"/>
            <w:vAlign w:val="center"/>
          </w:tcPr>
          <w:p w:rsidR="001A1998" w:rsidRPr="00E04A13" w:rsidRDefault="001A1998" w:rsidP="00BE7E88">
            <w:pPr>
              <w:jc w:val="right"/>
              <w:rPr>
                <w:rFonts w:cs="Arial"/>
                <w:sz w:val="20"/>
                <w:szCs w:val="20"/>
                <w:lang w:val="en-GB"/>
              </w:rPr>
            </w:pPr>
            <w:r w:rsidRPr="00E04A13">
              <w:rPr>
                <w:rFonts w:cs="Arial"/>
                <w:sz w:val="20"/>
                <w:szCs w:val="20"/>
                <w:lang w:val="en-GB"/>
              </w:rPr>
              <w:t>11</w:t>
            </w:r>
            <w:r w:rsidR="00BE7E88" w:rsidRPr="00E04A13">
              <w:rPr>
                <w:rFonts w:cs="Arial"/>
                <w:sz w:val="20"/>
                <w:szCs w:val="20"/>
                <w:lang w:val="en-GB"/>
              </w:rPr>
              <w:t>.</w:t>
            </w:r>
            <w:r w:rsidRPr="00E04A13">
              <w:rPr>
                <w:rFonts w:cs="Arial"/>
                <w:sz w:val="20"/>
                <w:szCs w:val="20"/>
                <w:lang w:val="en-GB"/>
              </w:rPr>
              <w:t>1%</w:t>
            </w:r>
          </w:p>
        </w:tc>
      </w:tr>
      <w:tr w:rsidR="001A1998" w:rsidRPr="00E04A13">
        <w:trPr>
          <w:trHeight w:val="288"/>
        </w:trPr>
        <w:tc>
          <w:tcPr>
            <w:tcW w:w="5238" w:type="dxa"/>
            <w:vAlign w:val="bottom"/>
          </w:tcPr>
          <w:p w:rsidR="001A1998" w:rsidRPr="00E04A13" w:rsidRDefault="001A1998">
            <w:pPr>
              <w:rPr>
                <w:rFonts w:cs="Arial"/>
                <w:sz w:val="20"/>
                <w:szCs w:val="20"/>
                <w:lang w:val="en-GB"/>
              </w:rPr>
            </w:pPr>
            <w:r w:rsidRPr="00E04A13">
              <w:rPr>
                <w:rFonts w:cs="Arial"/>
                <w:sz w:val="20"/>
                <w:szCs w:val="20"/>
                <w:lang w:val="en-GB"/>
              </w:rPr>
              <w:t>Water Supply and Waste Water Treatment</w:t>
            </w:r>
          </w:p>
        </w:tc>
        <w:tc>
          <w:tcPr>
            <w:tcW w:w="2025" w:type="dxa"/>
            <w:vAlign w:val="center"/>
          </w:tcPr>
          <w:p w:rsidR="001A1998" w:rsidRPr="00E04A13" w:rsidRDefault="001A1998" w:rsidP="00BE7E88">
            <w:pPr>
              <w:jc w:val="right"/>
              <w:rPr>
                <w:rFonts w:cs="Arial"/>
                <w:sz w:val="20"/>
                <w:szCs w:val="20"/>
                <w:lang w:val="en-GB"/>
              </w:rPr>
            </w:pPr>
            <w:r w:rsidRPr="00E04A13">
              <w:rPr>
                <w:rFonts w:cs="Arial"/>
                <w:sz w:val="20"/>
                <w:szCs w:val="20"/>
                <w:lang w:val="en-GB"/>
              </w:rPr>
              <w:t>3</w:t>
            </w:r>
            <w:r w:rsidR="00BE7E88" w:rsidRPr="00E04A13">
              <w:rPr>
                <w:rFonts w:cs="Arial"/>
                <w:sz w:val="20"/>
                <w:szCs w:val="20"/>
                <w:lang w:val="en-GB"/>
              </w:rPr>
              <w:t>.</w:t>
            </w:r>
            <w:r w:rsidRPr="00E04A13">
              <w:rPr>
                <w:rFonts w:cs="Arial"/>
                <w:sz w:val="20"/>
                <w:szCs w:val="20"/>
                <w:lang w:val="en-GB"/>
              </w:rPr>
              <w:t>3%</w:t>
            </w:r>
          </w:p>
        </w:tc>
        <w:tc>
          <w:tcPr>
            <w:tcW w:w="2025" w:type="dxa"/>
            <w:vAlign w:val="center"/>
          </w:tcPr>
          <w:p w:rsidR="001A1998" w:rsidRPr="00E04A13" w:rsidRDefault="001A1998" w:rsidP="00BE7E88">
            <w:pPr>
              <w:jc w:val="right"/>
              <w:rPr>
                <w:rFonts w:cs="Arial"/>
                <w:sz w:val="20"/>
                <w:szCs w:val="20"/>
                <w:lang w:val="en-GB"/>
              </w:rPr>
            </w:pPr>
            <w:r w:rsidRPr="00E04A13">
              <w:rPr>
                <w:rFonts w:cs="Arial"/>
                <w:sz w:val="20"/>
                <w:szCs w:val="20"/>
                <w:lang w:val="en-GB"/>
              </w:rPr>
              <w:t>7</w:t>
            </w:r>
            <w:r w:rsidR="00BE7E88" w:rsidRPr="00E04A13">
              <w:rPr>
                <w:rFonts w:cs="Arial"/>
                <w:sz w:val="20"/>
                <w:szCs w:val="20"/>
                <w:lang w:val="en-GB"/>
              </w:rPr>
              <w:t>.</w:t>
            </w:r>
            <w:r w:rsidRPr="00E04A13">
              <w:rPr>
                <w:rFonts w:cs="Arial"/>
                <w:sz w:val="20"/>
                <w:szCs w:val="20"/>
                <w:lang w:val="en-GB"/>
              </w:rPr>
              <w:t>0%</w:t>
            </w:r>
          </w:p>
        </w:tc>
      </w:tr>
      <w:tr w:rsidR="001A1998" w:rsidRPr="00E04A13">
        <w:trPr>
          <w:trHeight w:val="288"/>
        </w:trPr>
        <w:tc>
          <w:tcPr>
            <w:tcW w:w="5238" w:type="dxa"/>
            <w:vAlign w:val="bottom"/>
          </w:tcPr>
          <w:p w:rsidR="001A1998" w:rsidRPr="00E04A13" w:rsidRDefault="001A1998">
            <w:pPr>
              <w:rPr>
                <w:rFonts w:cs="Arial"/>
                <w:sz w:val="20"/>
                <w:szCs w:val="20"/>
                <w:lang w:val="en-GB"/>
              </w:rPr>
            </w:pPr>
            <w:r w:rsidRPr="00E04A13">
              <w:rPr>
                <w:rFonts w:cs="Arial"/>
                <w:sz w:val="20"/>
                <w:szCs w:val="20"/>
                <w:lang w:val="en-GB"/>
              </w:rPr>
              <w:t>Additional Energy Sources</w:t>
            </w:r>
          </w:p>
        </w:tc>
        <w:tc>
          <w:tcPr>
            <w:tcW w:w="2025" w:type="dxa"/>
            <w:vAlign w:val="center"/>
          </w:tcPr>
          <w:p w:rsidR="001A1998" w:rsidRPr="00E04A13" w:rsidRDefault="001A1998" w:rsidP="00BE7E88">
            <w:pPr>
              <w:jc w:val="right"/>
              <w:rPr>
                <w:rFonts w:cs="Arial"/>
                <w:sz w:val="20"/>
                <w:szCs w:val="20"/>
                <w:lang w:val="en-GB"/>
              </w:rPr>
            </w:pPr>
            <w:r w:rsidRPr="00E04A13">
              <w:rPr>
                <w:rFonts w:cs="Arial"/>
                <w:sz w:val="20"/>
                <w:szCs w:val="20"/>
                <w:lang w:val="en-GB"/>
              </w:rPr>
              <w:t>2</w:t>
            </w:r>
            <w:r w:rsidR="00BE7E88" w:rsidRPr="00E04A13">
              <w:rPr>
                <w:rFonts w:cs="Arial"/>
                <w:sz w:val="20"/>
                <w:szCs w:val="20"/>
                <w:lang w:val="en-GB"/>
              </w:rPr>
              <w:t>.</w:t>
            </w:r>
            <w:r w:rsidRPr="00E04A13">
              <w:rPr>
                <w:rFonts w:cs="Arial"/>
                <w:sz w:val="20"/>
                <w:szCs w:val="20"/>
                <w:lang w:val="en-GB"/>
              </w:rPr>
              <w:t>7%</w:t>
            </w:r>
          </w:p>
        </w:tc>
        <w:tc>
          <w:tcPr>
            <w:tcW w:w="2025" w:type="dxa"/>
            <w:vAlign w:val="center"/>
          </w:tcPr>
          <w:p w:rsidR="001A1998" w:rsidRPr="00E04A13" w:rsidRDefault="001A1998" w:rsidP="00BE7E88">
            <w:pPr>
              <w:jc w:val="right"/>
              <w:rPr>
                <w:rFonts w:cs="Arial"/>
                <w:sz w:val="20"/>
                <w:szCs w:val="20"/>
                <w:lang w:val="en-GB"/>
              </w:rPr>
            </w:pPr>
            <w:r w:rsidRPr="00E04A13">
              <w:rPr>
                <w:rFonts w:cs="Arial"/>
                <w:sz w:val="20"/>
                <w:szCs w:val="20"/>
                <w:lang w:val="en-GB"/>
              </w:rPr>
              <w:t>15</w:t>
            </w:r>
            <w:r w:rsidR="00BE7E88" w:rsidRPr="00E04A13">
              <w:rPr>
                <w:rFonts w:cs="Arial"/>
                <w:sz w:val="20"/>
                <w:szCs w:val="20"/>
                <w:lang w:val="en-GB"/>
              </w:rPr>
              <w:t>.</w:t>
            </w:r>
            <w:r w:rsidRPr="00E04A13">
              <w:rPr>
                <w:rFonts w:cs="Arial"/>
                <w:sz w:val="20"/>
                <w:szCs w:val="20"/>
                <w:lang w:val="en-GB"/>
              </w:rPr>
              <w:t>9%</w:t>
            </w:r>
          </w:p>
        </w:tc>
      </w:tr>
      <w:tr w:rsidR="001A1998" w:rsidRPr="00E04A13">
        <w:trPr>
          <w:trHeight w:val="288"/>
        </w:trPr>
        <w:tc>
          <w:tcPr>
            <w:tcW w:w="5238" w:type="dxa"/>
            <w:vAlign w:val="bottom"/>
          </w:tcPr>
          <w:p w:rsidR="001A1998" w:rsidRPr="00E04A13" w:rsidRDefault="001A1998">
            <w:pPr>
              <w:rPr>
                <w:rFonts w:cs="Arial"/>
                <w:sz w:val="20"/>
                <w:szCs w:val="20"/>
                <w:lang w:val="en-GB"/>
              </w:rPr>
            </w:pPr>
            <w:r w:rsidRPr="00E04A13">
              <w:rPr>
                <w:rFonts w:cs="Arial"/>
                <w:sz w:val="20"/>
                <w:szCs w:val="20"/>
                <w:lang w:val="en-GB"/>
              </w:rPr>
              <w:t>Alternative Fuel Vehicle</w:t>
            </w:r>
          </w:p>
        </w:tc>
        <w:tc>
          <w:tcPr>
            <w:tcW w:w="2025" w:type="dxa"/>
            <w:vAlign w:val="center"/>
          </w:tcPr>
          <w:p w:rsidR="001A1998" w:rsidRPr="00E04A13" w:rsidRDefault="001A1998" w:rsidP="00BE7E88">
            <w:pPr>
              <w:jc w:val="right"/>
              <w:rPr>
                <w:rFonts w:cs="Arial"/>
                <w:sz w:val="20"/>
                <w:szCs w:val="20"/>
                <w:lang w:val="en-GB"/>
              </w:rPr>
            </w:pPr>
            <w:r w:rsidRPr="00E04A13">
              <w:rPr>
                <w:rFonts w:cs="Arial"/>
                <w:sz w:val="20"/>
                <w:szCs w:val="20"/>
                <w:lang w:val="en-GB"/>
              </w:rPr>
              <w:t>3</w:t>
            </w:r>
            <w:r w:rsidR="00BE7E88" w:rsidRPr="00E04A13">
              <w:rPr>
                <w:rFonts w:cs="Arial"/>
                <w:sz w:val="20"/>
                <w:szCs w:val="20"/>
                <w:lang w:val="en-GB"/>
              </w:rPr>
              <w:t>.</w:t>
            </w:r>
            <w:r w:rsidRPr="00E04A13">
              <w:rPr>
                <w:rFonts w:cs="Arial"/>
                <w:sz w:val="20"/>
                <w:szCs w:val="20"/>
                <w:lang w:val="en-GB"/>
              </w:rPr>
              <w:t>9%</w:t>
            </w:r>
          </w:p>
        </w:tc>
        <w:tc>
          <w:tcPr>
            <w:tcW w:w="2025" w:type="dxa"/>
            <w:vAlign w:val="center"/>
          </w:tcPr>
          <w:p w:rsidR="001A1998" w:rsidRPr="00E04A13" w:rsidRDefault="001A1998" w:rsidP="00BE7E88">
            <w:pPr>
              <w:jc w:val="right"/>
              <w:rPr>
                <w:rFonts w:cs="Arial"/>
                <w:sz w:val="20"/>
                <w:szCs w:val="20"/>
                <w:lang w:val="en-GB"/>
              </w:rPr>
            </w:pPr>
            <w:r w:rsidRPr="00E04A13">
              <w:rPr>
                <w:rFonts w:cs="Arial"/>
                <w:sz w:val="20"/>
                <w:szCs w:val="20"/>
                <w:lang w:val="en-GB"/>
              </w:rPr>
              <w:t>10</w:t>
            </w:r>
            <w:r w:rsidR="00BE7E88" w:rsidRPr="00E04A13">
              <w:rPr>
                <w:rFonts w:cs="Arial"/>
                <w:sz w:val="20"/>
                <w:szCs w:val="20"/>
                <w:lang w:val="en-GB"/>
              </w:rPr>
              <w:t>.</w:t>
            </w:r>
            <w:r w:rsidRPr="00E04A13">
              <w:rPr>
                <w:rFonts w:cs="Arial"/>
                <w:sz w:val="20"/>
                <w:szCs w:val="20"/>
                <w:lang w:val="en-GB"/>
              </w:rPr>
              <w:t>7%</w:t>
            </w:r>
          </w:p>
        </w:tc>
      </w:tr>
      <w:tr w:rsidR="001A1998" w:rsidRPr="00E04A13">
        <w:trPr>
          <w:trHeight w:val="288"/>
        </w:trPr>
        <w:tc>
          <w:tcPr>
            <w:tcW w:w="5238" w:type="dxa"/>
            <w:vAlign w:val="bottom"/>
          </w:tcPr>
          <w:p w:rsidR="001A1998" w:rsidRPr="00E04A13" w:rsidRDefault="001A1998">
            <w:pPr>
              <w:rPr>
                <w:rFonts w:cs="Arial"/>
                <w:sz w:val="20"/>
                <w:szCs w:val="20"/>
                <w:lang w:val="en-GB"/>
              </w:rPr>
            </w:pPr>
            <w:r w:rsidRPr="00E04A13">
              <w:rPr>
                <w:rFonts w:cs="Arial"/>
                <w:sz w:val="20"/>
                <w:szCs w:val="20"/>
                <w:lang w:val="en-GB"/>
              </w:rPr>
              <w:t>Alternative Fuels</w:t>
            </w:r>
          </w:p>
        </w:tc>
        <w:tc>
          <w:tcPr>
            <w:tcW w:w="2025" w:type="dxa"/>
            <w:vAlign w:val="center"/>
          </w:tcPr>
          <w:p w:rsidR="001A1998" w:rsidRPr="00E04A13" w:rsidRDefault="001A1998" w:rsidP="00BE7E88">
            <w:pPr>
              <w:jc w:val="right"/>
              <w:rPr>
                <w:rFonts w:cs="Arial"/>
                <w:sz w:val="20"/>
                <w:szCs w:val="20"/>
                <w:lang w:val="en-GB"/>
              </w:rPr>
            </w:pPr>
            <w:r w:rsidRPr="00E04A13">
              <w:rPr>
                <w:rFonts w:cs="Arial"/>
                <w:sz w:val="20"/>
                <w:szCs w:val="20"/>
                <w:lang w:val="en-GB"/>
              </w:rPr>
              <w:t>3</w:t>
            </w:r>
            <w:r w:rsidR="00BE7E88" w:rsidRPr="00E04A13">
              <w:rPr>
                <w:rFonts w:cs="Arial"/>
                <w:sz w:val="20"/>
                <w:szCs w:val="20"/>
                <w:lang w:val="en-GB"/>
              </w:rPr>
              <w:t>.</w:t>
            </w:r>
            <w:r w:rsidRPr="00E04A13">
              <w:rPr>
                <w:rFonts w:cs="Arial"/>
                <w:sz w:val="20"/>
                <w:szCs w:val="20"/>
                <w:lang w:val="en-GB"/>
              </w:rPr>
              <w:t>4%</w:t>
            </w:r>
          </w:p>
        </w:tc>
        <w:tc>
          <w:tcPr>
            <w:tcW w:w="2025" w:type="dxa"/>
            <w:vAlign w:val="center"/>
          </w:tcPr>
          <w:p w:rsidR="001A1998" w:rsidRPr="00E04A13" w:rsidRDefault="001A1998" w:rsidP="00BE7E88">
            <w:pPr>
              <w:jc w:val="right"/>
              <w:rPr>
                <w:rFonts w:cs="Arial"/>
                <w:sz w:val="20"/>
                <w:szCs w:val="20"/>
                <w:lang w:val="en-GB"/>
              </w:rPr>
            </w:pPr>
            <w:r w:rsidRPr="00E04A13">
              <w:rPr>
                <w:rFonts w:cs="Arial"/>
                <w:sz w:val="20"/>
                <w:szCs w:val="20"/>
                <w:lang w:val="en-GB"/>
              </w:rPr>
              <w:t>28</w:t>
            </w:r>
            <w:r w:rsidR="00BE7E88" w:rsidRPr="00E04A13">
              <w:rPr>
                <w:rFonts w:cs="Arial"/>
                <w:sz w:val="20"/>
                <w:szCs w:val="20"/>
                <w:lang w:val="en-GB"/>
              </w:rPr>
              <w:t>.</w:t>
            </w:r>
            <w:r w:rsidRPr="00E04A13">
              <w:rPr>
                <w:rFonts w:cs="Arial"/>
                <w:sz w:val="20"/>
                <w:szCs w:val="20"/>
                <w:lang w:val="en-GB"/>
              </w:rPr>
              <w:t>5%</w:t>
            </w:r>
          </w:p>
        </w:tc>
      </w:tr>
      <w:tr w:rsidR="001A1998" w:rsidRPr="00E04A13">
        <w:trPr>
          <w:trHeight w:val="288"/>
        </w:trPr>
        <w:tc>
          <w:tcPr>
            <w:tcW w:w="5238" w:type="dxa"/>
            <w:vAlign w:val="bottom"/>
          </w:tcPr>
          <w:p w:rsidR="001A1998" w:rsidRPr="00E04A13" w:rsidRDefault="001A1998">
            <w:pPr>
              <w:rPr>
                <w:rFonts w:cs="Arial"/>
                <w:sz w:val="20"/>
                <w:szCs w:val="20"/>
                <w:lang w:val="en-GB"/>
              </w:rPr>
            </w:pPr>
            <w:r w:rsidRPr="00E04A13">
              <w:rPr>
                <w:rFonts w:cs="Arial"/>
                <w:sz w:val="20"/>
                <w:szCs w:val="20"/>
                <w:lang w:val="en-GB"/>
              </w:rPr>
              <w:t>Nuclear Power</w:t>
            </w:r>
          </w:p>
        </w:tc>
        <w:tc>
          <w:tcPr>
            <w:tcW w:w="2025" w:type="dxa"/>
            <w:vAlign w:val="center"/>
          </w:tcPr>
          <w:p w:rsidR="001A1998" w:rsidRPr="00E04A13" w:rsidRDefault="001A1998" w:rsidP="00BE7E88">
            <w:pPr>
              <w:jc w:val="right"/>
              <w:rPr>
                <w:rFonts w:cs="Arial"/>
                <w:sz w:val="20"/>
                <w:szCs w:val="20"/>
                <w:lang w:val="en-GB"/>
              </w:rPr>
            </w:pPr>
            <w:r w:rsidRPr="00E04A13">
              <w:rPr>
                <w:rFonts w:cs="Arial"/>
                <w:sz w:val="20"/>
                <w:szCs w:val="20"/>
                <w:lang w:val="en-GB"/>
              </w:rPr>
              <w:t>4</w:t>
            </w:r>
            <w:r w:rsidR="00BE7E88" w:rsidRPr="00E04A13">
              <w:rPr>
                <w:rFonts w:cs="Arial"/>
                <w:sz w:val="20"/>
                <w:szCs w:val="20"/>
                <w:lang w:val="en-GB"/>
              </w:rPr>
              <w:t>.</w:t>
            </w:r>
            <w:r w:rsidRPr="00E04A13">
              <w:rPr>
                <w:rFonts w:cs="Arial"/>
                <w:sz w:val="20"/>
                <w:szCs w:val="20"/>
                <w:lang w:val="en-GB"/>
              </w:rPr>
              <w:t>1%</w:t>
            </w:r>
          </w:p>
        </w:tc>
        <w:tc>
          <w:tcPr>
            <w:tcW w:w="2025" w:type="dxa"/>
            <w:vAlign w:val="center"/>
          </w:tcPr>
          <w:p w:rsidR="001A1998" w:rsidRPr="00E04A13" w:rsidRDefault="001A1998" w:rsidP="00BE7E88">
            <w:pPr>
              <w:jc w:val="right"/>
              <w:rPr>
                <w:rFonts w:cs="Arial"/>
                <w:sz w:val="20"/>
                <w:szCs w:val="20"/>
                <w:lang w:val="en-GB"/>
              </w:rPr>
            </w:pPr>
            <w:r w:rsidRPr="00E04A13">
              <w:rPr>
                <w:rFonts w:cs="Arial"/>
                <w:sz w:val="20"/>
                <w:szCs w:val="20"/>
                <w:lang w:val="en-GB"/>
              </w:rPr>
              <w:t>8</w:t>
            </w:r>
            <w:r w:rsidR="00BE7E88" w:rsidRPr="00E04A13">
              <w:rPr>
                <w:rFonts w:cs="Arial"/>
                <w:sz w:val="20"/>
                <w:szCs w:val="20"/>
                <w:lang w:val="en-GB"/>
              </w:rPr>
              <w:t>.</w:t>
            </w:r>
            <w:r w:rsidRPr="00E04A13">
              <w:rPr>
                <w:rFonts w:cs="Arial"/>
                <w:sz w:val="20"/>
                <w:szCs w:val="20"/>
                <w:lang w:val="en-GB"/>
              </w:rPr>
              <w:t>1%</w:t>
            </w:r>
          </w:p>
        </w:tc>
      </w:tr>
      <w:tr w:rsidR="001A1998" w:rsidRPr="00E04A13">
        <w:trPr>
          <w:trHeight w:val="288"/>
        </w:trPr>
        <w:tc>
          <w:tcPr>
            <w:tcW w:w="5238" w:type="dxa"/>
            <w:vAlign w:val="bottom"/>
          </w:tcPr>
          <w:p w:rsidR="001A1998" w:rsidRPr="00E04A13" w:rsidRDefault="001A1998">
            <w:pPr>
              <w:rPr>
                <w:rFonts w:cs="Arial"/>
                <w:sz w:val="20"/>
                <w:szCs w:val="20"/>
                <w:lang w:val="en-GB"/>
              </w:rPr>
            </w:pPr>
            <w:r w:rsidRPr="00E04A13">
              <w:rPr>
                <w:rFonts w:cs="Arial"/>
                <w:sz w:val="20"/>
                <w:szCs w:val="20"/>
                <w:lang w:val="en-GB"/>
              </w:rPr>
              <w:t>Building Technologies</w:t>
            </w:r>
          </w:p>
        </w:tc>
        <w:tc>
          <w:tcPr>
            <w:tcW w:w="2025" w:type="dxa"/>
            <w:vAlign w:val="center"/>
          </w:tcPr>
          <w:p w:rsidR="001A1998" w:rsidRPr="00E04A13" w:rsidRDefault="001A1998" w:rsidP="00BE7E88">
            <w:pPr>
              <w:jc w:val="right"/>
              <w:rPr>
                <w:rFonts w:cs="Arial"/>
                <w:sz w:val="20"/>
                <w:szCs w:val="20"/>
                <w:lang w:val="en-GB"/>
              </w:rPr>
            </w:pPr>
            <w:r w:rsidRPr="00E04A13">
              <w:rPr>
                <w:rFonts w:cs="Arial"/>
                <w:sz w:val="20"/>
                <w:szCs w:val="20"/>
                <w:lang w:val="en-GB"/>
              </w:rPr>
              <w:t>3</w:t>
            </w:r>
            <w:r w:rsidR="00BE7E88" w:rsidRPr="00E04A13">
              <w:rPr>
                <w:rFonts w:cs="Arial"/>
                <w:sz w:val="20"/>
                <w:szCs w:val="20"/>
                <w:lang w:val="en-GB"/>
              </w:rPr>
              <w:t>.</w:t>
            </w:r>
            <w:r w:rsidRPr="00E04A13">
              <w:rPr>
                <w:rFonts w:cs="Arial"/>
                <w:sz w:val="20"/>
                <w:szCs w:val="20"/>
                <w:lang w:val="en-GB"/>
              </w:rPr>
              <w:t>6%</w:t>
            </w:r>
          </w:p>
        </w:tc>
        <w:tc>
          <w:tcPr>
            <w:tcW w:w="2025" w:type="dxa"/>
            <w:vAlign w:val="center"/>
          </w:tcPr>
          <w:p w:rsidR="001A1998" w:rsidRPr="00E04A13" w:rsidRDefault="001A1998" w:rsidP="00BE7E88">
            <w:pPr>
              <w:jc w:val="right"/>
              <w:rPr>
                <w:rFonts w:cs="Arial"/>
                <w:sz w:val="20"/>
                <w:szCs w:val="20"/>
                <w:lang w:val="en-GB"/>
              </w:rPr>
            </w:pPr>
            <w:r w:rsidRPr="00E04A13">
              <w:rPr>
                <w:rFonts w:cs="Arial"/>
                <w:sz w:val="20"/>
                <w:szCs w:val="20"/>
                <w:lang w:val="en-GB"/>
              </w:rPr>
              <w:t>19</w:t>
            </w:r>
            <w:r w:rsidR="00BE7E88" w:rsidRPr="00E04A13">
              <w:rPr>
                <w:rFonts w:cs="Arial"/>
                <w:sz w:val="20"/>
                <w:szCs w:val="20"/>
                <w:lang w:val="en-GB"/>
              </w:rPr>
              <w:t>.</w:t>
            </w:r>
            <w:r w:rsidRPr="00E04A13">
              <w:rPr>
                <w:rFonts w:cs="Arial"/>
                <w:sz w:val="20"/>
                <w:szCs w:val="20"/>
                <w:lang w:val="en-GB"/>
              </w:rPr>
              <w:t>2%</w:t>
            </w:r>
          </w:p>
        </w:tc>
      </w:tr>
      <w:tr w:rsidR="001A1998" w:rsidRPr="00E04A13">
        <w:trPr>
          <w:trHeight w:val="288"/>
        </w:trPr>
        <w:tc>
          <w:tcPr>
            <w:tcW w:w="5238" w:type="dxa"/>
            <w:vAlign w:val="bottom"/>
          </w:tcPr>
          <w:p w:rsidR="001A1998" w:rsidRPr="00E04A13" w:rsidRDefault="001A1998">
            <w:pPr>
              <w:rPr>
                <w:rFonts w:cs="Arial"/>
                <w:sz w:val="20"/>
                <w:szCs w:val="20"/>
                <w:lang w:val="en-GB"/>
              </w:rPr>
            </w:pPr>
            <w:r w:rsidRPr="00E04A13">
              <w:rPr>
                <w:rFonts w:cs="Arial"/>
                <w:sz w:val="20"/>
                <w:szCs w:val="20"/>
                <w:lang w:val="en-GB"/>
              </w:rPr>
              <w:t>Carbon Capture &amp; Storage</w:t>
            </w:r>
          </w:p>
        </w:tc>
        <w:tc>
          <w:tcPr>
            <w:tcW w:w="2025" w:type="dxa"/>
            <w:vAlign w:val="center"/>
          </w:tcPr>
          <w:p w:rsidR="001A1998" w:rsidRPr="00E04A13" w:rsidRDefault="001A1998" w:rsidP="00BE7E88">
            <w:pPr>
              <w:jc w:val="right"/>
              <w:rPr>
                <w:rFonts w:cs="Arial"/>
                <w:sz w:val="20"/>
                <w:szCs w:val="20"/>
                <w:lang w:val="en-GB"/>
              </w:rPr>
            </w:pPr>
            <w:r w:rsidRPr="00E04A13">
              <w:rPr>
                <w:rFonts w:cs="Arial"/>
                <w:sz w:val="20"/>
                <w:szCs w:val="20"/>
                <w:lang w:val="en-GB"/>
              </w:rPr>
              <w:t>3</w:t>
            </w:r>
            <w:r w:rsidR="00BE7E88" w:rsidRPr="00E04A13">
              <w:rPr>
                <w:rFonts w:cs="Arial"/>
                <w:sz w:val="20"/>
                <w:szCs w:val="20"/>
                <w:lang w:val="en-GB"/>
              </w:rPr>
              <w:t>.</w:t>
            </w:r>
            <w:r w:rsidRPr="00E04A13">
              <w:rPr>
                <w:rFonts w:cs="Arial"/>
                <w:sz w:val="20"/>
                <w:szCs w:val="20"/>
                <w:lang w:val="en-GB"/>
              </w:rPr>
              <w:t>6%</w:t>
            </w:r>
          </w:p>
        </w:tc>
        <w:tc>
          <w:tcPr>
            <w:tcW w:w="2025" w:type="dxa"/>
            <w:vAlign w:val="center"/>
          </w:tcPr>
          <w:p w:rsidR="001A1998" w:rsidRPr="00E04A13" w:rsidRDefault="001A1998" w:rsidP="00BE7E88">
            <w:pPr>
              <w:jc w:val="right"/>
              <w:rPr>
                <w:rFonts w:cs="Arial"/>
                <w:sz w:val="20"/>
                <w:szCs w:val="20"/>
                <w:lang w:val="en-GB"/>
              </w:rPr>
            </w:pPr>
            <w:r w:rsidRPr="00E04A13">
              <w:rPr>
                <w:rFonts w:cs="Arial"/>
                <w:sz w:val="20"/>
                <w:szCs w:val="20"/>
                <w:lang w:val="en-GB"/>
              </w:rPr>
              <w:t>14</w:t>
            </w:r>
            <w:r w:rsidR="00BE7E88" w:rsidRPr="00E04A13">
              <w:rPr>
                <w:rFonts w:cs="Arial"/>
                <w:sz w:val="20"/>
                <w:szCs w:val="20"/>
                <w:lang w:val="en-GB"/>
              </w:rPr>
              <w:t>.</w:t>
            </w:r>
            <w:r w:rsidRPr="00E04A13">
              <w:rPr>
                <w:rFonts w:cs="Arial"/>
                <w:sz w:val="20"/>
                <w:szCs w:val="20"/>
                <w:lang w:val="en-GB"/>
              </w:rPr>
              <w:t>1%</w:t>
            </w:r>
          </w:p>
        </w:tc>
      </w:tr>
      <w:tr w:rsidR="001A1998" w:rsidRPr="00E04A13">
        <w:trPr>
          <w:trHeight w:val="288"/>
        </w:trPr>
        <w:tc>
          <w:tcPr>
            <w:tcW w:w="5238" w:type="dxa"/>
            <w:vAlign w:val="bottom"/>
          </w:tcPr>
          <w:p w:rsidR="001A1998" w:rsidRPr="00E04A13" w:rsidRDefault="001A1998">
            <w:pPr>
              <w:rPr>
                <w:rFonts w:cs="Arial"/>
                <w:sz w:val="20"/>
                <w:szCs w:val="20"/>
                <w:lang w:val="en-GB"/>
              </w:rPr>
            </w:pPr>
            <w:r w:rsidRPr="00E04A13">
              <w:rPr>
                <w:rFonts w:cs="Arial"/>
                <w:sz w:val="20"/>
                <w:szCs w:val="20"/>
                <w:lang w:val="en-GB"/>
              </w:rPr>
              <w:t>Carbon Finance</w:t>
            </w:r>
          </w:p>
        </w:tc>
        <w:tc>
          <w:tcPr>
            <w:tcW w:w="2025" w:type="dxa"/>
            <w:vAlign w:val="center"/>
          </w:tcPr>
          <w:p w:rsidR="001A1998" w:rsidRPr="00E04A13" w:rsidRDefault="001A1998" w:rsidP="00BE7E88">
            <w:pPr>
              <w:jc w:val="right"/>
              <w:rPr>
                <w:rFonts w:cs="Arial"/>
                <w:sz w:val="20"/>
                <w:szCs w:val="20"/>
                <w:lang w:val="en-GB"/>
              </w:rPr>
            </w:pPr>
            <w:r w:rsidRPr="00E04A13">
              <w:rPr>
                <w:rFonts w:cs="Arial"/>
                <w:sz w:val="20"/>
                <w:szCs w:val="20"/>
                <w:lang w:val="en-GB"/>
              </w:rPr>
              <w:t>16</w:t>
            </w:r>
            <w:r w:rsidR="00BE7E88" w:rsidRPr="00E04A13">
              <w:rPr>
                <w:rFonts w:cs="Arial"/>
                <w:sz w:val="20"/>
                <w:szCs w:val="20"/>
                <w:lang w:val="en-GB"/>
              </w:rPr>
              <w:t>.</w:t>
            </w:r>
            <w:r w:rsidRPr="00E04A13">
              <w:rPr>
                <w:rFonts w:cs="Arial"/>
                <w:sz w:val="20"/>
                <w:szCs w:val="20"/>
                <w:lang w:val="en-GB"/>
              </w:rPr>
              <w:t>1%</w:t>
            </w:r>
          </w:p>
        </w:tc>
        <w:tc>
          <w:tcPr>
            <w:tcW w:w="2025" w:type="dxa"/>
            <w:vAlign w:val="center"/>
          </w:tcPr>
          <w:p w:rsidR="001A1998" w:rsidRPr="00E04A13" w:rsidRDefault="001A1998" w:rsidP="00BE7E88">
            <w:pPr>
              <w:jc w:val="right"/>
              <w:rPr>
                <w:rFonts w:cs="Arial"/>
                <w:sz w:val="20"/>
                <w:szCs w:val="20"/>
                <w:lang w:val="en-GB"/>
              </w:rPr>
            </w:pPr>
            <w:r w:rsidRPr="00E04A13">
              <w:rPr>
                <w:rFonts w:cs="Arial"/>
                <w:sz w:val="20"/>
                <w:szCs w:val="20"/>
                <w:lang w:val="en-GB"/>
              </w:rPr>
              <w:t>29</w:t>
            </w:r>
            <w:r w:rsidR="00BE7E88" w:rsidRPr="00E04A13">
              <w:rPr>
                <w:rFonts w:cs="Arial"/>
                <w:sz w:val="20"/>
                <w:szCs w:val="20"/>
                <w:lang w:val="en-GB"/>
              </w:rPr>
              <w:t>.</w:t>
            </w:r>
            <w:r w:rsidRPr="00E04A13">
              <w:rPr>
                <w:rFonts w:cs="Arial"/>
                <w:sz w:val="20"/>
                <w:szCs w:val="20"/>
                <w:lang w:val="en-GB"/>
              </w:rPr>
              <w:t>1%</w:t>
            </w:r>
          </w:p>
        </w:tc>
      </w:tr>
      <w:tr w:rsidR="001A1998" w:rsidRPr="00E04A13">
        <w:trPr>
          <w:trHeight w:val="288"/>
        </w:trPr>
        <w:tc>
          <w:tcPr>
            <w:tcW w:w="5238" w:type="dxa"/>
            <w:vAlign w:val="bottom"/>
          </w:tcPr>
          <w:p w:rsidR="001A1998" w:rsidRPr="00E04A13" w:rsidRDefault="001A1998">
            <w:pPr>
              <w:rPr>
                <w:rFonts w:cs="Arial"/>
                <w:sz w:val="20"/>
                <w:szCs w:val="20"/>
                <w:lang w:val="en-GB"/>
              </w:rPr>
            </w:pPr>
            <w:r w:rsidRPr="00E04A13">
              <w:rPr>
                <w:rFonts w:cs="Arial"/>
                <w:sz w:val="20"/>
                <w:szCs w:val="20"/>
                <w:lang w:val="en-GB"/>
              </w:rPr>
              <w:t>Energy Management</w:t>
            </w:r>
          </w:p>
        </w:tc>
        <w:tc>
          <w:tcPr>
            <w:tcW w:w="2025" w:type="dxa"/>
            <w:vAlign w:val="center"/>
          </w:tcPr>
          <w:p w:rsidR="001A1998" w:rsidRPr="00E04A13" w:rsidRDefault="001A1998" w:rsidP="00BE7E88">
            <w:pPr>
              <w:jc w:val="right"/>
              <w:rPr>
                <w:rFonts w:cs="Arial"/>
                <w:sz w:val="20"/>
                <w:szCs w:val="20"/>
                <w:lang w:val="en-GB"/>
              </w:rPr>
            </w:pPr>
            <w:r w:rsidRPr="00E04A13">
              <w:rPr>
                <w:rFonts w:cs="Arial"/>
                <w:sz w:val="20"/>
                <w:szCs w:val="20"/>
                <w:lang w:val="en-GB"/>
              </w:rPr>
              <w:t>3</w:t>
            </w:r>
            <w:r w:rsidR="00BE7E88" w:rsidRPr="00E04A13">
              <w:rPr>
                <w:rFonts w:cs="Arial"/>
                <w:sz w:val="20"/>
                <w:szCs w:val="20"/>
                <w:lang w:val="en-GB"/>
              </w:rPr>
              <w:t>.</w:t>
            </w:r>
            <w:r w:rsidRPr="00E04A13">
              <w:rPr>
                <w:rFonts w:cs="Arial"/>
                <w:sz w:val="20"/>
                <w:szCs w:val="20"/>
                <w:lang w:val="en-GB"/>
              </w:rPr>
              <w:t>5%</w:t>
            </w:r>
          </w:p>
        </w:tc>
        <w:tc>
          <w:tcPr>
            <w:tcW w:w="2025" w:type="dxa"/>
            <w:vAlign w:val="center"/>
          </w:tcPr>
          <w:p w:rsidR="001A1998" w:rsidRPr="00E04A13" w:rsidRDefault="001A1998" w:rsidP="00BE7E88">
            <w:pPr>
              <w:jc w:val="right"/>
              <w:rPr>
                <w:rFonts w:cs="Arial"/>
                <w:sz w:val="20"/>
                <w:szCs w:val="20"/>
                <w:lang w:val="en-GB"/>
              </w:rPr>
            </w:pPr>
            <w:r w:rsidRPr="00E04A13">
              <w:rPr>
                <w:rFonts w:cs="Arial"/>
                <w:sz w:val="20"/>
                <w:szCs w:val="20"/>
                <w:lang w:val="en-GB"/>
              </w:rPr>
              <w:t>13</w:t>
            </w:r>
            <w:r w:rsidR="00BE7E88" w:rsidRPr="00E04A13">
              <w:rPr>
                <w:rFonts w:cs="Arial"/>
                <w:sz w:val="20"/>
                <w:szCs w:val="20"/>
                <w:lang w:val="en-GB"/>
              </w:rPr>
              <w:t>.</w:t>
            </w:r>
            <w:r w:rsidRPr="00E04A13">
              <w:rPr>
                <w:rFonts w:cs="Arial"/>
                <w:sz w:val="20"/>
                <w:szCs w:val="20"/>
                <w:lang w:val="en-GB"/>
              </w:rPr>
              <w:t>7%</w:t>
            </w:r>
          </w:p>
        </w:tc>
      </w:tr>
      <w:tr w:rsidR="001A1998" w:rsidRPr="00E04A13">
        <w:trPr>
          <w:trHeight w:val="288"/>
        </w:trPr>
        <w:tc>
          <w:tcPr>
            <w:tcW w:w="5238" w:type="dxa"/>
            <w:vAlign w:val="bottom"/>
          </w:tcPr>
          <w:p w:rsidR="001A1998" w:rsidRPr="00E04A13" w:rsidRDefault="001A1998">
            <w:pPr>
              <w:rPr>
                <w:rFonts w:cs="Arial"/>
                <w:sz w:val="20"/>
                <w:szCs w:val="20"/>
                <w:lang w:val="en-GB"/>
              </w:rPr>
            </w:pPr>
            <w:r w:rsidRPr="00E04A13">
              <w:rPr>
                <w:rFonts w:cs="Arial"/>
                <w:sz w:val="20"/>
                <w:szCs w:val="20"/>
                <w:lang w:val="en-GB"/>
              </w:rPr>
              <w:t>Biomass</w:t>
            </w:r>
          </w:p>
        </w:tc>
        <w:tc>
          <w:tcPr>
            <w:tcW w:w="2025" w:type="dxa"/>
            <w:vAlign w:val="center"/>
          </w:tcPr>
          <w:p w:rsidR="001A1998" w:rsidRPr="00E04A13" w:rsidRDefault="001A1998" w:rsidP="00BE7E88">
            <w:pPr>
              <w:jc w:val="right"/>
              <w:rPr>
                <w:rFonts w:cs="Arial"/>
                <w:sz w:val="20"/>
                <w:szCs w:val="20"/>
                <w:lang w:val="en-GB"/>
              </w:rPr>
            </w:pPr>
            <w:r w:rsidRPr="00E04A13">
              <w:rPr>
                <w:rFonts w:cs="Arial"/>
                <w:sz w:val="20"/>
                <w:szCs w:val="20"/>
                <w:lang w:val="en-GB"/>
              </w:rPr>
              <w:t>3</w:t>
            </w:r>
            <w:r w:rsidR="00BE7E88" w:rsidRPr="00E04A13">
              <w:rPr>
                <w:rFonts w:cs="Arial"/>
                <w:sz w:val="20"/>
                <w:szCs w:val="20"/>
                <w:lang w:val="en-GB"/>
              </w:rPr>
              <w:t>.</w:t>
            </w:r>
            <w:r w:rsidRPr="00E04A13">
              <w:rPr>
                <w:rFonts w:cs="Arial"/>
                <w:sz w:val="20"/>
                <w:szCs w:val="20"/>
                <w:lang w:val="en-GB"/>
              </w:rPr>
              <w:t>8%</w:t>
            </w:r>
          </w:p>
        </w:tc>
        <w:tc>
          <w:tcPr>
            <w:tcW w:w="2025" w:type="dxa"/>
            <w:vAlign w:val="center"/>
          </w:tcPr>
          <w:p w:rsidR="001A1998" w:rsidRPr="00E04A13" w:rsidRDefault="001A1998" w:rsidP="00BE7E88">
            <w:pPr>
              <w:jc w:val="right"/>
              <w:rPr>
                <w:rFonts w:cs="Arial"/>
                <w:sz w:val="20"/>
                <w:szCs w:val="20"/>
                <w:lang w:val="en-GB"/>
              </w:rPr>
            </w:pPr>
            <w:r w:rsidRPr="00E04A13">
              <w:rPr>
                <w:rFonts w:cs="Arial"/>
                <w:sz w:val="20"/>
                <w:szCs w:val="20"/>
                <w:lang w:val="en-GB"/>
              </w:rPr>
              <w:t>20</w:t>
            </w:r>
            <w:r w:rsidR="00BE7E88" w:rsidRPr="00E04A13">
              <w:rPr>
                <w:rFonts w:cs="Arial"/>
                <w:sz w:val="20"/>
                <w:szCs w:val="20"/>
                <w:lang w:val="en-GB"/>
              </w:rPr>
              <w:t>.</w:t>
            </w:r>
            <w:r w:rsidRPr="00E04A13">
              <w:rPr>
                <w:rFonts w:cs="Arial"/>
                <w:sz w:val="20"/>
                <w:szCs w:val="20"/>
                <w:lang w:val="en-GB"/>
              </w:rPr>
              <w:t>7%</w:t>
            </w:r>
          </w:p>
        </w:tc>
      </w:tr>
      <w:tr w:rsidR="001A1998" w:rsidRPr="00E04A13">
        <w:trPr>
          <w:trHeight w:val="288"/>
        </w:trPr>
        <w:tc>
          <w:tcPr>
            <w:tcW w:w="5238" w:type="dxa"/>
            <w:vAlign w:val="bottom"/>
          </w:tcPr>
          <w:p w:rsidR="001A1998" w:rsidRPr="00E04A13" w:rsidRDefault="001A1998">
            <w:pPr>
              <w:rPr>
                <w:rFonts w:cs="Arial"/>
                <w:sz w:val="20"/>
                <w:szCs w:val="20"/>
                <w:lang w:val="en-GB"/>
              </w:rPr>
            </w:pPr>
            <w:r w:rsidRPr="00E04A13">
              <w:rPr>
                <w:rFonts w:cs="Arial"/>
                <w:sz w:val="20"/>
                <w:szCs w:val="20"/>
                <w:lang w:val="en-GB"/>
              </w:rPr>
              <w:t>Geothermal</w:t>
            </w:r>
          </w:p>
        </w:tc>
        <w:tc>
          <w:tcPr>
            <w:tcW w:w="2025" w:type="dxa"/>
            <w:vAlign w:val="center"/>
          </w:tcPr>
          <w:p w:rsidR="001A1998" w:rsidRPr="00E04A13" w:rsidRDefault="001A1998" w:rsidP="00BE7E88">
            <w:pPr>
              <w:jc w:val="right"/>
              <w:rPr>
                <w:rFonts w:cs="Arial"/>
                <w:sz w:val="20"/>
                <w:szCs w:val="20"/>
                <w:lang w:val="en-GB"/>
              </w:rPr>
            </w:pPr>
            <w:r w:rsidRPr="00E04A13">
              <w:rPr>
                <w:rFonts w:cs="Arial"/>
                <w:sz w:val="20"/>
                <w:szCs w:val="20"/>
                <w:lang w:val="en-GB"/>
              </w:rPr>
              <w:t>3</w:t>
            </w:r>
            <w:r w:rsidR="00BE7E88" w:rsidRPr="00E04A13">
              <w:rPr>
                <w:rFonts w:cs="Arial"/>
                <w:sz w:val="20"/>
                <w:szCs w:val="20"/>
                <w:lang w:val="en-GB"/>
              </w:rPr>
              <w:t>.</w:t>
            </w:r>
            <w:r w:rsidRPr="00E04A13">
              <w:rPr>
                <w:rFonts w:cs="Arial"/>
                <w:sz w:val="20"/>
                <w:szCs w:val="20"/>
                <w:lang w:val="en-GB"/>
              </w:rPr>
              <w:t>6%</w:t>
            </w:r>
          </w:p>
        </w:tc>
        <w:tc>
          <w:tcPr>
            <w:tcW w:w="2025" w:type="dxa"/>
            <w:vAlign w:val="center"/>
          </w:tcPr>
          <w:p w:rsidR="001A1998" w:rsidRPr="00E04A13" w:rsidRDefault="001A1998" w:rsidP="00BE7E88">
            <w:pPr>
              <w:jc w:val="right"/>
              <w:rPr>
                <w:rFonts w:cs="Arial"/>
                <w:sz w:val="20"/>
                <w:szCs w:val="20"/>
                <w:lang w:val="en-GB"/>
              </w:rPr>
            </w:pPr>
            <w:r w:rsidRPr="00E04A13">
              <w:rPr>
                <w:rFonts w:cs="Arial"/>
                <w:sz w:val="20"/>
                <w:szCs w:val="20"/>
                <w:lang w:val="en-GB"/>
              </w:rPr>
              <w:t>21</w:t>
            </w:r>
            <w:r w:rsidR="00BE7E88" w:rsidRPr="00E04A13">
              <w:rPr>
                <w:rFonts w:cs="Arial"/>
                <w:sz w:val="20"/>
                <w:szCs w:val="20"/>
                <w:lang w:val="en-GB"/>
              </w:rPr>
              <w:t>.</w:t>
            </w:r>
            <w:r w:rsidRPr="00E04A13">
              <w:rPr>
                <w:rFonts w:cs="Arial"/>
                <w:sz w:val="20"/>
                <w:szCs w:val="20"/>
                <w:lang w:val="en-GB"/>
              </w:rPr>
              <w:t>4%</w:t>
            </w:r>
          </w:p>
        </w:tc>
      </w:tr>
      <w:tr w:rsidR="001A1998" w:rsidRPr="00E04A13">
        <w:trPr>
          <w:trHeight w:val="288"/>
        </w:trPr>
        <w:tc>
          <w:tcPr>
            <w:tcW w:w="5238" w:type="dxa"/>
            <w:vAlign w:val="bottom"/>
          </w:tcPr>
          <w:p w:rsidR="001A1998" w:rsidRPr="00E04A13" w:rsidRDefault="001A1998">
            <w:pPr>
              <w:rPr>
                <w:rFonts w:cs="Arial"/>
                <w:sz w:val="20"/>
                <w:szCs w:val="20"/>
                <w:lang w:val="en-GB"/>
              </w:rPr>
            </w:pPr>
            <w:r w:rsidRPr="00E04A13">
              <w:rPr>
                <w:rFonts w:cs="Arial"/>
                <w:sz w:val="20"/>
                <w:szCs w:val="20"/>
                <w:lang w:val="en-GB"/>
              </w:rPr>
              <w:t>Hydro</w:t>
            </w:r>
          </w:p>
        </w:tc>
        <w:tc>
          <w:tcPr>
            <w:tcW w:w="2025" w:type="dxa"/>
            <w:vAlign w:val="center"/>
          </w:tcPr>
          <w:p w:rsidR="001A1998" w:rsidRPr="00E04A13" w:rsidRDefault="001A1998" w:rsidP="00BE7E88">
            <w:pPr>
              <w:jc w:val="right"/>
              <w:rPr>
                <w:rFonts w:cs="Arial"/>
                <w:sz w:val="20"/>
                <w:szCs w:val="20"/>
                <w:lang w:val="en-GB"/>
              </w:rPr>
            </w:pPr>
            <w:r w:rsidRPr="00E04A13">
              <w:rPr>
                <w:rFonts w:cs="Arial"/>
                <w:sz w:val="20"/>
                <w:szCs w:val="20"/>
                <w:lang w:val="en-GB"/>
              </w:rPr>
              <w:t>3</w:t>
            </w:r>
            <w:r w:rsidR="00BE7E88" w:rsidRPr="00E04A13">
              <w:rPr>
                <w:rFonts w:cs="Arial"/>
                <w:sz w:val="20"/>
                <w:szCs w:val="20"/>
                <w:lang w:val="en-GB"/>
              </w:rPr>
              <w:t>.</w:t>
            </w:r>
            <w:r w:rsidRPr="00E04A13">
              <w:rPr>
                <w:rFonts w:cs="Arial"/>
                <w:sz w:val="20"/>
                <w:szCs w:val="20"/>
                <w:lang w:val="en-GB"/>
              </w:rPr>
              <w:t>9%</w:t>
            </w:r>
          </w:p>
        </w:tc>
        <w:tc>
          <w:tcPr>
            <w:tcW w:w="2025" w:type="dxa"/>
            <w:vAlign w:val="center"/>
          </w:tcPr>
          <w:p w:rsidR="001A1998" w:rsidRPr="00E04A13" w:rsidRDefault="001A1998" w:rsidP="00BE7E88">
            <w:pPr>
              <w:jc w:val="right"/>
              <w:rPr>
                <w:rFonts w:cs="Arial"/>
                <w:sz w:val="20"/>
                <w:szCs w:val="20"/>
                <w:lang w:val="en-GB"/>
              </w:rPr>
            </w:pPr>
            <w:r w:rsidRPr="00E04A13">
              <w:rPr>
                <w:rFonts w:cs="Arial"/>
                <w:sz w:val="20"/>
                <w:szCs w:val="20"/>
                <w:lang w:val="en-GB"/>
              </w:rPr>
              <w:t>11</w:t>
            </w:r>
            <w:r w:rsidR="00BE7E88" w:rsidRPr="00E04A13">
              <w:rPr>
                <w:rFonts w:cs="Arial"/>
                <w:sz w:val="20"/>
                <w:szCs w:val="20"/>
                <w:lang w:val="en-GB"/>
              </w:rPr>
              <w:t>.</w:t>
            </w:r>
            <w:r w:rsidRPr="00E04A13">
              <w:rPr>
                <w:rFonts w:cs="Arial"/>
                <w:sz w:val="20"/>
                <w:szCs w:val="20"/>
                <w:lang w:val="en-GB"/>
              </w:rPr>
              <w:t>5%</w:t>
            </w:r>
          </w:p>
        </w:tc>
      </w:tr>
      <w:tr w:rsidR="001A1998" w:rsidRPr="00E04A13">
        <w:trPr>
          <w:trHeight w:val="288"/>
        </w:trPr>
        <w:tc>
          <w:tcPr>
            <w:tcW w:w="5238" w:type="dxa"/>
            <w:vAlign w:val="bottom"/>
          </w:tcPr>
          <w:p w:rsidR="001A1998" w:rsidRPr="00E04A13" w:rsidRDefault="001A1998">
            <w:pPr>
              <w:rPr>
                <w:rFonts w:cs="Arial"/>
                <w:sz w:val="20"/>
                <w:szCs w:val="20"/>
                <w:lang w:val="en-GB"/>
              </w:rPr>
            </w:pPr>
            <w:r w:rsidRPr="00E04A13">
              <w:rPr>
                <w:rFonts w:cs="Arial"/>
                <w:sz w:val="20"/>
                <w:szCs w:val="20"/>
                <w:lang w:val="en-GB"/>
              </w:rPr>
              <w:t>Photovoltaic</w:t>
            </w:r>
          </w:p>
        </w:tc>
        <w:tc>
          <w:tcPr>
            <w:tcW w:w="2025" w:type="dxa"/>
            <w:vAlign w:val="center"/>
          </w:tcPr>
          <w:p w:rsidR="001A1998" w:rsidRPr="00E04A13" w:rsidRDefault="001A1998" w:rsidP="00BE7E88">
            <w:pPr>
              <w:jc w:val="right"/>
              <w:rPr>
                <w:rFonts w:cs="Arial"/>
                <w:sz w:val="20"/>
                <w:szCs w:val="20"/>
                <w:lang w:val="en-GB"/>
              </w:rPr>
            </w:pPr>
            <w:r w:rsidRPr="00E04A13">
              <w:rPr>
                <w:rFonts w:cs="Arial"/>
                <w:sz w:val="20"/>
                <w:szCs w:val="20"/>
                <w:lang w:val="en-GB"/>
              </w:rPr>
              <w:t>3</w:t>
            </w:r>
            <w:r w:rsidR="00BE7E88" w:rsidRPr="00E04A13">
              <w:rPr>
                <w:rFonts w:cs="Arial"/>
                <w:sz w:val="20"/>
                <w:szCs w:val="20"/>
                <w:lang w:val="en-GB"/>
              </w:rPr>
              <w:t>.</w:t>
            </w:r>
            <w:r w:rsidRPr="00E04A13">
              <w:rPr>
                <w:rFonts w:cs="Arial"/>
                <w:sz w:val="20"/>
                <w:szCs w:val="20"/>
                <w:lang w:val="en-GB"/>
              </w:rPr>
              <w:t>5%</w:t>
            </w:r>
          </w:p>
        </w:tc>
        <w:tc>
          <w:tcPr>
            <w:tcW w:w="2025" w:type="dxa"/>
            <w:vAlign w:val="center"/>
          </w:tcPr>
          <w:p w:rsidR="001A1998" w:rsidRPr="00E04A13" w:rsidRDefault="001A1998" w:rsidP="00BE7E88">
            <w:pPr>
              <w:jc w:val="right"/>
              <w:rPr>
                <w:rFonts w:cs="Arial"/>
                <w:sz w:val="20"/>
                <w:szCs w:val="20"/>
                <w:lang w:val="en-GB"/>
              </w:rPr>
            </w:pPr>
            <w:r w:rsidRPr="00E04A13">
              <w:rPr>
                <w:rFonts w:cs="Arial"/>
                <w:sz w:val="20"/>
                <w:szCs w:val="20"/>
                <w:lang w:val="en-GB"/>
              </w:rPr>
              <w:t>27</w:t>
            </w:r>
            <w:r w:rsidR="00BE7E88" w:rsidRPr="00E04A13">
              <w:rPr>
                <w:rFonts w:cs="Arial"/>
                <w:sz w:val="20"/>
                <w:szCs w:val="20"/>
                <w:lang w:val="en-GB"/>
              </w:rPr>
              <w:t>.</w:t>
            </w:r>
            <w:r w:rsidRPr="00E04A13">
              <w:rPr>
                <w:rFonts w:cs="Arial"/>
                <w:sz w:val="20"/>
                <w:szCs w:val="20"/>
                <w:lang w:val="en-GB"/>
              </w:rPr>
              <w:t>0%</w:t>
            </w:r>
          </w:p>
        </w:tc>
      </w:tr>
      <w:tr w:rsidR="001A1998" w:rsidRPr="00E04A13">
        <w:trPr>
          <w:trHeight w:val="288"/>
        </w:trPr>
        <w:tc>
          <w:tcPr>
            <w:tcW w:w="5238" w:type="dxa"/>
            <w:vAlign w:val="bottom"/>
          </w:tcPr>
          <w:p w:rsidR="001A1998" w:rsidRPr="00E04A13" w:rsidRDefault="001A1998">
            <w:pPr>
              <w:rPr>
                <w:rFonts w:cs="Arial"/>
                <w:sz w:val="20"/>
                <w:szCs w:val="20"/>
                <w:lang w:val="en-GB"/>
              </w:rPr>
            </w:pPr>
            <w:r w:rsidRPr="00E04A13">
              <w:rPr>
                <w:rFonts w:cs="Arial"/>
                <w:sz w:val="20"/>
                <w:szCs w:val="20"/>
                <w:lang w:val="en-GB"/>
              </w:rPr>
              <w:t>Renewable consulting</w:t>
            </w:r>
          </w:p>
        </w:tc>
        <w:tc>
          <w:tcPr>
            <w:tcW w:w="2025" w:type="dxa"/>
            <w:vAlign w:val="center"/>
          </w:tcPr>
          <w:p w:rsidR="001A1998" w:rsidRPr="00E04A13" w:rsidRDefault="001A1998" w:rsidP="00BE7E88">
            <w:pPr>
              <w:jc w:val="right"/>
              <w:rPr>
                <w:rFonts w:cs="Arial"/>
                <w:sz w:val="20"/>
                <w:szCs w:val="20"/>
                <w:lang w:val="en-GB"/>
              </w:rPr>
            </w:pPr>
            <w:r w:rsidRPr="00E04A13">
              <w:rPr>
                <w:rFonts w:cs="Arial"/>
                <w:sz w:val="20"/>
                <w:szCs w:val="20"/>
                <w:lang w:val="en-GB"/>
              </w:rPr>
              <w:t>2</w:t>
            </w:r>
            <w:r w:rsidR="00BE7E88" w:rsidRPr="00E04A13">
              <w:rPr>
                <w:rFonts w:cs="Arial"/>
                <w:sz w:val="20"/>
                <w:szCs w:val="20"/>
                <w:lang w:val="en-GB"/>
              </w:rPr>
              <w:t>.</w:t>
            </w:r>
            <w:r w:rsidRPr="00E04A13">
              <w:rPr>
                <w:rFonts w:cs="Arial"/>
                <w:sz w:val="20"/>
                <w:szCs w:val="20"/>
                <w:lang w:val="en-GB"/>
              </w:rPr>
              <w:t>8%</w:t>
            </w:r>
          </w:p>
        </w:tc>
        <w:tc>
          <w:tcPr>
            <w:tcW w:w="2025" w:type="dxa"/>
            <w:vAlign w:val="center"/>
          </w:tcPr>
          <w:p w:rsidR="001A1998" w:rsidRPr="00E04A13" w:rsidRDefault="001A1998" w:rsidP="00BE7E88">
            <w:pPr>
              <w:jc w:val="right"/>
              <w:rPr>
                <w:rFonts w:cs="Arial"/>
                <w:sz w:val="20"/>
                <w:szCs w:val="20"/>
                <w:lang w:val="en-GB"/>
              </w:rPr>
            </w:pPr>
            <w:r w:rsidRPr="00E04A13">
              <w:rPr>
                <w:rFonts w:cs="Arial"/>
                <w:sz w:val="20"/>
                <w:szCs w:val="20"/>
                <w:lang w:val="en-GB"/>
              </w:rPr>
              <w:t>11</w:t>
            </w:r>
            <w:r w:rsidR="00BE7E88" w:rsidRPr="00E04A13">
              <w:rPr>
                <w:rFonts w:cs="Arial"/>
                <w:sz w:val="20"/>
                <w:szCs w:val="20"/>
                <w:lang w:val="en-GB"/>
              </w:rPr>
              <w:t>.</w:t>
            </w:r>
            <w:r w:rsidRPr="00E04A13">
              <w:rPr>
                <w:rFonts w:cs="Arial"/>
                <w:sz w:val="20"/>
                <w:szCs w:val="20"/>
                <w:lang w:val="en-GB"/>
              </w:rPr>
              <w:t>5%</w:t>
            </w:r>
          </w:p>
        </w:tc>
      </w:tr>
      <w:tr w:rsidR="001A1998" w:rsidRPr="00E04A13">
        <w:trPr>
          <w:trHeight w:val="288"/>
        </w:trPr>
        <w:tc>
          <w:tcPr>
            <w:tcW w:w="5238" w:type="dxa"/>
            <w:vAlign w:val="bottom"/>
          </w:tcPr>
          <w:p w:rsidR="001A1998" w:rsidRPr="00E04A13" w:rsidRDefault="001A1998">
            <w:pPr>
              <w:rPr>
                <w:rFonts w:cs="Arial"/>
                <w:sz w:val="20"/>
                <w:szCs w:val="20"/>
                <w:lang w:val="en-GB"/>
              </w:rPr>
            </w:pPr>
            <w:r w:rsidRPr="00E04A13">
              <w:rPr>
                <w:rFonts w:cs="Arial"/>
                <w:sz w:val="20"/>
                <w:szCs w:val="20"/>
                <w:lang w:val="en-GB"/>
              </w:rPr>
              <w:t>Wave &amp; Tidal</w:t>
            </w:r>
          </w:p>
        </w:tc>
        <w:tc>
          <w:tcPr>
            <w:tcW w:w="2025" w:type="dxa"/>
            <w:vAlign w:val="center"/>
          </w:tcPr>
          <w:p w:rsidR="001A1998" w:rsidRPr="00E04A13" w:rsidRDefault="001A1998" w:rsidP="00BE7E88">
            <w:pPr>
              <w:jc w:val="right"/>
              <w:rPr>
                <w:rFonts w:cs="Arial"/>
                <w:sz w:val="20"/>
                <w:szCs w:val="20"/>
                <w:lang w:val="en-GB"/>
              </w:rPr>
            </w:pPr>
            <w:r w:rsidRPr="00E04A13">
              <w:rPr>
                <w:rFonts w:cs="Arial"/>
                <w:sz w:val="20"/>
                <w:szCs w:val="20"/>
                <w:lang w:val="en-GB"/>
              </w:rPr>
              <w:t>4</w:t>
            </w:r>
            <w:r w:rsidR="00BE7E88" w:rsidRPr="00E04A13">
              <w:rPr>
                <w:rFonts w:cs="Arial"/>
                <w:sz w:val="20"/>
                <w:szCs w:val="20"/>
                <w:lang w:val="en-GB"/>
              </w:rPr>
              <w:t>.</w:t>
            </w:r>
            <w:r w:rsidRPr="00E04A13">
              <w:rPr>
                <w:rFonts w:cs="Arial"/>
                <w:sz w:val="20"/>
                <w:szCs w:val="20"/>
                <w:lang w:val="en-GB"/>
              </w:rPr>
              <w:t>1%</w:t>
            </w:r>
          </w:p>
        </w:tc>
        <w:tc>
          <w:tcPr>
            <w:tcW w:w="2025" w:type="dxa"/>
            <w:vAlign w:val="center"/>
          </w:tcPr>
          <w:p w:rsidR="001A1998" w:rsidRPr="00E04A13" w:rsidRDefault="001A1998" w:rsidP="00BE7E88">
            <w:pPr>
              <w:jc w:val="right"/>
              <w:rPr>
                <w:rFonts w:cs="Arial"/>
                <w:sz w:val="20"/>
                <w:szCs w:val="20"/>
                <w:lang w:val="en-GB"/>
              </w:rPr>
            </w:pPr>
            <w:r w:rsidRPr="00E04A13">
              <w:rPr>
                <w:rFonts w:cs="Arial"/>
                <w:sz w:val="20"/>
                <w:szCs w:val="20"/>
                <w:lang w:val="en-GB"/>
              </w:rPr>
              <w:t>23</w:t>
            </w:r>
            <w:r w:rsidR="00BE7E88" w:rsidRPr="00E04A13">
              <w:rPr>
                <w:rFonts w:cs="Arial"/>
                <w:sz w:val="20"/>
                <w:szCs w:val="20"/>
                <w:lang w:val="en-GB"/>
              </w:rPr>
              <w:t>.</w:t>
            </w:r>
            <w:r w:rsidRPr="00E04A13">
              <w:rPr>
                <w:rFonts w:cs="Arial"/>
                <w:sz w:val="20"/>
                <w:szCs w:val="20"/>
                <w:lang w:val="en-GB"/>
              </w:rPr>
              <w:t>0%</w:t>
            </w:r>
          </w:p>
        </w:tc>
      </w:tr>
      <w:tr w:rsidR="001A1998" w:rsidRPr="00E04A13">
        <w:trPr>
          <w:trHeight w:val="288"/>
        </w:trPr>
        <w:tc>
          <w:tcPr>
            <w:tcW w:w="5238" w:type="dxa"/>
            <w:vAlign w:val="bottom"/>
          </w:tcPr>
          <w:p w:rsidR="001A1998" w:rsidRPr="00E04A13" w:rsidRDefault="001A1998">
            <w:pPr>
              <w:rPr>
                <w:rFonts w:cs="Arial"/>
                <w:sz w:val="20"/>
                <w:szCs w:val="20"/>
                <w:lang w:val="en-GB"/>
              </w:rPr>
            </w:pPr>
            <w:r w:rsidRPr="00E04A13">
              <w:rPr>
                <w:rFonts w:cs="Arial"/>
                <w:sz w:val="20"/>
                <w:szCs w:val="20"/>
                <w:lang w:val="en-GB"/>
              </w:rPr>
              <w:t>Wind</w:t>
            </w:r>
          </w:p>
        </w:tc>
        <w:tc>
          <w:tcPr>
            <w:tcW w:w="2025" w:type="dxa"/>
            <w:vAlign w:val="center"/>
          </w:tcPr>
          <w:p w:rsidR="001A1998" w:rsidRPr="00E04A13" w:rsidRDefault="001A1998" w:rsidP="00BE7E88">
            <w:pPr>
              <w:jc w:val="right"/>
              <w:rPr>
                <w:rFonts w:cs="Arial"/>
                <w:sz w:val="20"/>
                <w:szCs w:val="20"/>
                <w:lang w:val="en-GB"/>
              </w:rPr>
            </w:pPr>
            <w:r w:rsidRPr="00E04A13">
              <w:rPr>
                <w:rFonts w:cs="Arial"/>
                <w:sz w:val="20"/>
                <w:szCs w:val="20"/>
                <w:lang w:val="en-GB"/>
              </w:rPr>
              <w:t>3</w:t>
            </w:r>
            <w:r w:rsidR="00BE7E88" w:rsidRPr="00E04A13">
              <w:rPr>
                <w:rFonts w:cs="Arial"/>
                <w:sz w:val="20"/>
                <w:szCs w:val="20"/>
                <w:lang w:val="en-GB"/>
              </w:rPr>
              <w:t>.</w:t>
            </w:r>
            <w:r w:rsidRPr="00E04A13">
              <w:rPr>
                <w:rFonts w:cs="Arial"/>
                <w:sz w:val="20"/>
                <w:szCs w:val="20"/>
                <w:lang w:val="en-GB"/>
              </w:rPr>
              <w:t>7%</w:t>
            </w:r>
          </w:p>
        </w:tc>
        <w:tc>
          <w:tcPr>
            <w:tcW w:w="2025" w:type="dxa"/>
            <w:vAlign w:val="center"/>
          </w:tcPr>
          <w:p w:rsidR="001A1998" w:rsidRPr="00E04A13" w:rsidRDefault="001A1998" w:rsidP="00BE7E88">
            <w:pPr>
              <w:jc w:val="right"/>
              <w:rPr>
                <w:rFonts w:cs="Arial"/>
                <w:sz w:val="20"/>
                <w:szCs w:val="20"/>
                <w:lang w:val="en-GB"/>
              </w:rPr>
            </w:pPr>
            <w:r w:rsidRPr="00E04A13">
              <w:rPr>
                <w:rFonts w:cs="Arial"/>
                <w:sz w:val="20"/>
                <w:szCs w:val="20"/>
                <w:lang w:val="en-GB"/>
              </w:rPr>
              <w:t>31</w:t>
            </w:r>
            <w:r w:rsidR="00BE7E88" w:rsidRPr="00E04A13">
              <w:rPr>
                <w:rFonts w:cs="Arial"/>
                <w:sz w:val="20"/>
                <w:szCs w:val="20"/>
                <w:lang w:val="en-GB"/>
              </w:rPr>
              <w:t>.</w:t>
            </w:r>
            <w:r w:rsidRPr="00E04A13">
              <w:rPr>
                <w:rFonts w:cs="Arial"/>
                <w:sz w:val="20"/>
                <w:szCs w:val="20"/>
                <w:lang w:val="en-GB"/>
              </w:rPr>
              <w:t>0%</w:t>
            </w:r>
          </w:p>
        </w:tc>
      </w:tr>
      <w:tr w:rsidR="001A1998" w:rsidRPr="00E04A13">
        <w:trPr>
          <w:trHeight w:val="288"/>
        </w:trPr>
        <w:tc>
          <w:tcPr>
            <w:tcW w:w="5238" w:type="dxa"/>
            <w:vAlign w:val="bottom"/>
          </w:tcPr>
          <w:p w:rsidR="001A1998" w:rsidRPr="00E04A13" w:rsidRDefault="001A1998">
            <w:pPr>
              <w:rPr>
                <w:rFonts w:cs="Arial"/>
                <w:b/>
                <w:bCs/>
                <w:sz w:val="20"/>
                <w:szCs w:val="20"/>
                <w:lang w:val="en-GB"/>
              </w:rPr>
            </w:pPr>
            <w:r w:rsidRPr="00E04A13">
              <w:rPr>
                <w:rFonts w:cs="Arial"/>
                <w:b/>
                <w:bCs/>
                <w:sz w:val="20"/>
                <w:szCs w:val="20"/>
                <w:lang w:val="en-GB"/>
              </w:rPr>
              <w:t>Total</w:t>
            </w:r>
          </w:p>
        </w:tc>
        <w:tc>
          <w:tcPr>
            <w:tcW w:w="2025" w:type="dxa"/>
            <w:vAlign w:val="center"/>
          </w:tcPr>
          <w:p w:rsidR="001A1998" w:rsidRPr="00E04A13" w:rsidRDefault="001A1998" w:rsidP="00BE7E88">
            <w:pPr>
              <w:jc w:val="right"/>
              <w:rPr>
                <w:rFonts w:cs="Arial"/>
                <w:b/>
                <w:sz w:val="20"/>
                <w:szCs w:val="20"/>
                <w:lang w:val="en-GB"/>
              </w:rPr>
            </w:pPr>
            <w:r w:rsidRPr="00E04A13">
              <w:rPr>
                <w:rFonts w:cs="Arial"/>
                <w:b/>
                <w:sz w:val="20"/>
                <w:szCs w:val="20"/>
                <w:lang w:val="en-GB"/>
              </w:rPr>
              <w:t>3</w:t>
            </w:r>
            <w:r w:rsidR="00BE7E88" w:rsidRPr="00E04A13">
              <w:rPr>
                <w:rFonts w:cs="Arial"/>
                <w:b/>
                <w:sz w:val="20"/>
                <w:szCs w:val="20"/>
                <w:lang w:val="en-GB"/>
              </w:rPr>
              <w:t>.</w:t>
            </w:r>
            <w:r w:rsidRPr="00E04A13">
              <w:rPr>
                <w:rFonts w:cs="Arial"/>
                <w:b/>
                <w:sz w:val="20"/>
                <w:szCs w:val="20"/>
                <w:lang w:val="en-GB"/>
              </w:rPr>
              <w:t>7%</w:t>
            </w:r>
          </w:p>
        </w:tc>
        <w:tc>
          <w:tcPr>
            <w:tcW w:w="2025" w:type="dxa"/>
            <w:vAlign w:val="center"/>
          </w:tcPr>
          <w:p w:rsidR="001A1998" w:rsidRPr="00E04A13" w:rsidRDefault="001A1998" w:rsidP="00BE7E88">
            <w:pPr>
              <w:jc w:val="right"/>
              <w:rPr>
                <w:rFonts w:cs="Arial"/>
                <w:b/>
                <w:sz w:val="20"/>
                <w:szCs w:val="20"/>
                <w:lang w:val="en-GB"/>
              </w:rPr>
            </w:pPr>
            <w:r w:rsidRPr="00E04A13">
              <w:rPr>
                <w:rFonts w:cs="Arial"/>
                <w:b/>
                <w:sz w:val="20"/>
                <w:szCs w:val="20"/>
                <w:lang w:val="en-GB"/>
              </w:rPr>
              <w:t>19</w:t>
            </w:r>
            <w:r w:rsidR="00BE7E88" w:rsidRPr="00E04A13">
              <w:rPr>
                <w:rFonts w:cs="Arial"/>
                <w:b/>
                <w:sz w:val="20"/>
                <w:szCs w:val="20"/>
                <w:lang w:val="en-GB"/>
              </w:rPr>
              <w:t>.</w:t>
            </w:r>
            <w:r w:rsidRPr="00E04A13">
              <w:rPr>
                <w:rFonts w:cs="Arial"/>
                <w:b/>
                <w:sz w:val="20"/>
                <w:szCs w:val="20"/>
                <w:lang w:val="en-GB"/>
              </w:rPr>
              <w:t>4%</w:t>
            </w:r>
          </w:p>
        </w:tc>
      </w:tr>
    </w:tbl>
    <w:p w:rsidR="00D047F7" w:rsidRPr="00E04A13" w:rsidRDefault="001A1998" w:rsidP="001A1998">
      <w:pPr>
        <w:pStyle w:val="Caption"/>
        <w:rPr>
          <w:lang w:val="en-GB"/>
        </w:rPr>
      </w:pPr>
      <w:bookmarkStart w:id="41" w:name="_Toc252202029"/>
      <w:r w:rsidRPr="00E04A13">
        <w:rPr>
          <w:lang w:val="en-GB"/>
        </w:rPr>
        <w:t xml:space="preserve">Table </w:t>
      </w:r>
      <w:r w:rsidR="00EA4FE5" w:rsidRPr="00E04A13">
        <w:rPr>
          <w:lang w:val="en-GB"/>
        </w:rPr>
        <w:fldChar w:fldCharType="begin"/>
      </w:r>
      <w:r w:rsidR="00647FEE" w:rsidRPr="00E04A13">
        <w:rPr>
          <w:lang w:val="en-GB"/>
        </w:rPr>
        <w:instrText xml:space="preserve"> SEQ Table \* ARABIC </w:instrText>
      </w:r>
      <w:r w:rsidR="00EA4FE5" w:rsidRPr="00E04A13">
        <w:rPr>
          <w:lang w:val="en-GB"/>
        </w:rPr>
        <w:fldChar w:fldCharType="separate"/>
      </w:r>
      <w:r w:rsidR="00503F5D">
        <w:rPr>
          <w:noProof/>
          <w:lang w:val="en-GB"/>
        </w:rPr>
        <w:t>10</w:t>
      </w:r>
      <w:r w:rsidR="00EA4FE5" w:rsidRPr="00E04A13">
        <w:rPr>
          <w:lang w:val="en-GB"/>
        </w:rPr>
        <w:fldChar w:fldCharType="end"/>
      </w:r>
      <w:r w:rsidRPr="00E04A13">
        <w:rPr>
          <w:lang w:val="en-GB"/>
        </w:rPr>
        <w:t>: Development of sub-sectors in the UK</w:t>
      </w:r>
      <w:r w:rsidR="009051E6" w:rsidRPr="00E04A13">
        <w:rPr>
          <w:rStyle w:val="FootnoteReference"/>
          <w:lang w:val="en-GB"/>
        </w:rPr>
        <w:footnoteReference w:id="35"/>
      </w:r>
      <w:bookmarkEnd w:id="41"/>
    </w:p>
    <w:p w:rsidR="00503F5D" w:rsidRDefault="001A1998" w:rsidP="00555A4B">
      <w:pPr>
        <w:rPr>
          <w:lang w:val="en-GB"/>
        </w:rPr>
      </w:pPr>
      <w:r w:rsidRPr="00E04A13">
        <w:rPr>
          <w:lang w:val="en-GB"/>
        </w:rPr>
        <w:t xml:space="preserve">The overview shows very strong growth in all renewable energy sub-sectors except for hydro-energy but also in the alternative fuel sector and in building technologies. On the other hand growth in air pollution, nuclear industry and </w:t>
      </w:r>
      <w:r w:rsidR="00B511CE" w:rsidRPr="00E04A13">
        <w:rPr>
          <w:lang w:val="en-GB"/>
        </w:rPr>
        <w:t xml:space="preserve">Water supply and water treatment was slow. </w:t>
      </w:r>
      <w:r w:rsidR="006A67FA" w:rsidRPr="00E04A13">
        <w:rPr>
          <w:lang w:val="en-GB"/>
        </w:rPr>
        <w:t xml:space="preserve">Overall employment in the green industry grew to </w:t>
      </w:r>
      <w:r w:rsidR="006E7766">
        <w:rPr>
          <w:lang w:val="en-GB"/>
        </w:rPr>
        <w:t>just below one million</w:t>
      </w:r>
      <w:r w:rsidR="006A67FA" w:rsidRPr="00E04A13">
        <w:rPr>
          <w:lang w:val="en-GB"/>
        </w:rPr>
        <w:t xml:space="preserve"> in 2011. </w:t>
      </w:r>
      <w:r w:rsidR="007429C8" w:rsidRPr="00E04A13">
        <w:rPr>
          <w:lang w:val="en-GB"/>
        </w:rPr>
        <w:t>Within the UK</w:t>
      </w:r>
      <w:r w:rsidR="006E7766">
        <w:rPr>
          <w:lang w:val="en-GB"/>
        </w:rPr>
        <w:t>,</w:t>
      </w:r>
      <w:r w:rsidR="007429C8" w:rsidRPr="00E04A13">
        <w:rPr>
          <w:lang w:val="en-GB"/>
        </w:rPr>
        <w:t xml:space="preserve"> green industries are concentrated in the south east of England (30% of </w:t>
      </w:r>
      <w:r w:rsidR="006A67FA" w:rsidRPr="00E04A13">
        <w:rPr>
          <w:lang w:val="en-GB"/>
        </w:rPr>
        <w:t>turnover</w:t>
      </w:r>
      <w:r w:rsidR="007429C8" w:rsidRPr="00E04A13">
        <w:rPr>
          <w:lang w:val="en-GB"/>
        </w:rPr>
        <w:t xml:space="preserve">), and fairly evenly distributed in the rest of the country. </w:t>
      </w:r>
    </w:p>
    <w:p w:rsidR="00555A4B" w:rsidRPr="00E04A13" w:rsidRDefault="00555A4B" w:rsidP="00555A4B">
      <w:pPr>
        <w:rPr>
          <w:lang w:val="en-GB"/>
        </w:rPr>
      </w:pPr>
      <w:r w:rsidRPr="00E04A13">
        <w:rPr>
          <w:lang w:val="en-GB"/>
        </w:rPr>
        <w:t>As in</w:t>
      </w:r>
      <w:r w:rsidR="00B85243" w:rsidRPr="00E04A13">
        <w:rPr>
          <w:lang w:val="en-GB"/>
        </w:rPr>
        <w:t xml:space="preserve"> other countries LCEGS sectors g</w:t>
      </w:r>
      <w:r w:rsidRPr="00E04A13">
        <w:rPr>
          <w:lang w:val="en-GB"/>
        </w:rPr>
        <w:t xml:space="preserve">rew very steadily over the selected period and </w:t>
      </w:r>
      <w:r w:rsidR="00B85243" w:rsidRPr="00E04A13">
        <w:rPr>
          <w:lang w:val="en-GB"/>
        </w:rPr>
        <w:t xml:space="preserve">as GDP growth was very low in the UK in </w:t>
      </w:r>
      <w:r w:rsidR="005F4A30">
        <w:rPr>
          <w:lang w:val="en-GB"/>
        </w:rPr>
        <w:t>this</w:t>
      </w:r>
      <w:r w:rsidR="00B85243" w:rsidRPr="00E04A13">
        <w:rPr>
          <w:lang w:val="en-GB"/>
        </w:rPr>
        <w:t xml:space="preserve"> period</w:t>
      </w:r>
      <w:r w:rsidR="0018207C" w:rsidRPr="00E04A13">
        <w:rPr>
          <w:lang w:val="en-GB"/>
        </w:rPr>
        <w:t>,</w:t>
      </w:r>
      <w:r w:rsidR="00B85243" w:rsidRPr="00E04A13">
        <w:rPr>
          <w:lang w:val="en-GB"/>
        </w:rPr>
        <w:t xml:space="preserve"> the LCEGS sectors made a substantial </w:t>
      </w:r>
      <w:proofErr w:type="gramStart"/>
      <w:r w:rsidR="00B85243" w:rsidRPr="00E04A13">
        <w:rPr>
          <w:lang w:val="en-GB"/>
        </w:rPr>
        <w:t>contribution</w:t>
      </w:r>
      <w:proofErr w:type="gramEnd"/>
      <w:r w:rsidR="00B85243" w:rsidRPr="00E04A13">
        <w:rPr>
          <w:lang w:val="en-GB"/>
        </w:rPr>
        <w:t xml:space="preserve"> to </w:t>
      </w:r>
      <w:r w:rsidR="005F4A30">
        <w:rPr>
          <w:lang w:val="en-GB"/>
        </w:rPr>
        <w:t>support</w:t>
      </w:r>
      <w:r w:rsidR="0018207C" w:rsidRPr="00E04A13">
        <w:rPr>
          <w:lang w:val="en-GB"/>
        </w:rPr>
        <w:t xml:space="preserve"> the struggling UK economy.</w:t>
      </w:r>
      <w:r w:rsidR="00B85243" w:rsidRPr="00E04A13">
        <w:rPr>
          <w:lang w:val="en-GB"/>
        </w:rPr>
        <w:t xml:space="preserve"> </w:t>
      </w:r>
    </w:p>
    <w:tbl>
      <w:tblPr>
        <w:tblStyle w:val="TableGrid"/>
        <w:tblW w:w="0" w:type="auto"/>
        <w:tblLook w:val="00BF"/>
      </w:tblPr>
      <w:tblGrid>
        <w:gridCol w:w="1548"/>
        <w:gridCol w:w="1548"/>
        <w:gridCol w:w="1548"/>
        <w:gridCol w:w="1548"/>
        <w:gridCol w:w="1548"/>
        <w:gridCol w:w="1548"/>
      </w:tblGrid>
      <w:tr w:rsidR="005F4A30">
        <w:tc>
          <w:tcPr>
            <w:tcW w:w="1548" w:type="dxa"/>
          </w:tcPr>
          <w:p w:rsidR="005F4A30" w:rsidRPr="00C41B78" w:rsidRDefault="005F4A30" w:rsidP="00555A4B">
            <w:pPr>
              <w:rPr>
                <w:lang w:val="en-GB"/>
              </w:rPr>
            </w:pPr>
          </w:p>
        </w:tc>
        <w:tc>
          <w:tcPr>
            <w:tcW w:w="1548" w:type="dxa"/>
          </w:tcPr>
          <w:p w:rsidR="005F4A30" w:rsidRPr="00C41B78" w:rsidRDefault="005F4A30" w:rsidP="00C41B78">
            <w:pPr>
              <w:jc w:val="center"/>
              <w:rPr>
                <w:lang w:val="en-GB"/>
              </w:rPr>
            </w:pPr>
            <w:r w:rsidRPr="00C41B78">
              <w:rPr>
                <w:lang w:val="en-GB"/>
              </w:rPr>
              <w:t>2008</w:t>
            </w:r>
          </w:p>
        </w:tc>
        <w:tc>
          <w:tcPr>
            <w:tcW w:w="1548" w:type="dxa"/>
          </w:tcPr>
          <w:p w:rsidR="005F4A30" w:rsidRPr="00C41B78" w:rsidRDefault="005F4A30" w:rsidP="00C41B78">
            <w:pPr>
              <w:jc w:val="center"/>
              <w:rPr>
                <w:lang w:val="en-GB"/>
              </w:rPr>
            </w:pPr>
            <w:r w:rsidRPr="00C41B78">
              <w:rPr>
                <w:lang w:val="en-GB"/>
              </w:rPr>
              <w:t>2009</w:t>
            </w:r>
          </w:p>
        </w:tc>
        <w:tc>
          <w:tcPr>
            <w:tcW w:w="1548" w:type="dxa"/>
          </w:tcPr>
          <w:p w:rsidR="005F4A30" w:rsidRPr="00C41B78" w:rsidRDefault="005F4A30" w:rsidP="00C41B78">
            <w:pPr>
              <w:jc w:val="center"/>
              <w:rPr>
                <w:lang w:val="en-GB"/>
              </w:rPr>
            </w:pPr>
            <w:r w:rsidRPr="00C41B78">
              <w:rPr>
                <w:lang w:val="en-GB"/>
              </w:rPr>
              <w:t>2010</w:t>
            </w:r>
          </w:p>
        </w:tc>
        <w:tc>
          <w:tcPr>
            <w:tcW w:w="1548" w:type="dxa"/>
          </w:tcPr>
          <w:p w:rsidR="005F4A30" w:rsidRPr="00C41B78" w:rsidRDefault="005F4A30" w:rsidP="00C41B78">
            <w:pPr>
              <w:jc w:val="center"/>
              <w:rPr>
                <w:lang w:val="en-GB"/>
              </w:rPr>
            </w:pPr>
            <w:r w:rsidRPr="00C41B78">
              <w:rPr>
                <w:lang w:val="en-GB"/>
              </w:rPr>
              <w:t>2011</w:t>
            </w:r>
          </w:p>
        </w:tc>
        <w:tc>
          <w:tcPr>
            <w:tcW w:w="1548" w:type="dxa"/>
          </w:tcPr>
          <w:p w:rsidR="005F4A30" w:rsidRPr="00C41B78" w:rsidRDefault="00503F5D" w:rsidP="00C41B78">
            <w:pPr>
              <w:jc w:val="center"/>
              <w:rPr>
                <w:lang w:val="en-GB"/>
              </w:rPr>
            </w:pPr>
            <w:r>
              <w:rPr>
                <w:lang w:val="en-GB"/>
              </w:rPr>
              <w:t>2008</w:t>
            </w:r>
            <w:r w:rsidR="005F4A30" w:rsidRPr="00C41B78">
              <w:rPr>
                <w:lang w:val="en-GB"/>
              </w:rPr>
              <w:t>-2011</w:t>
            </w:r>
          </w:p>
        </w:tc>
      </w:tr>
      <w:tr w:rsidR="005F4A30">
        <w:tc>
          <w:tcPr>
            <w:tcW w:w="1548" w:type="dxa"/>
          </w:tcPr>
          <w:p w:rsidR="005F4A30" w:rsidRPr="00C41B78" w:rsidRDefault="005F4A30" w:rsidP="00555A4B">
            <w:pPr>
              <w:rPr>
                <w:lang w:val="en-GB"/>
              </w:rPr>
            </w:pPr>
            <w:r w:rsidRPr="00C41B78">
              <w:rPr>
                <w:b/>
                <w:lang w:val="en-GB"/>
              </w:rPr>
              <w:t>LCEGS</w:t>
            </w:r>
          </w:p>
        </w:tc>
        <w:tc>
          <w:tcPr>
            <w:tcW w:w="1548" w:type="dxa"/>
          </w:tcPr>
          <w:p w:rsidR="005F4A30" w:rsidRPr="00C41B78" w:rsidRDefault="005F4A30" w:rsidP="00C41B78">
            <w:pPr>
              <w:jc w:val="right"/>
              <w:rPr>
                <w:lang w:val="en-GB"/>
              </w:rPr>
            </w:pPr>
            <w:r w:rsidRPr="00C41B78">
              <w:rPr>
                <w:rFonts w:eastAsia="Times New Roman" w:cs="Arial"/>
                <w:szCs w:val="20"/>
                <w:lang w:val="en-GB"/>
              </w:rPr>
              <w:t>4.3%</w:t>
            </w:r>
          </w:p>
        </w:tc>
        <w:tc>
          <w:tcPr>
            <w:tcW w:w="1548" w:type="dxa"/>
          </w:tcPr>
          <w:p w:rsidR="005F4A30" w:rsidRPr="00C41B78" w:rsidRDefault="005F4A30" w:rsidP="00C41B78">
            <w:pPr>
              <w:jc w:val="right"/>
              <w:rPr>
                <w:lang w:val="en-GB"/>
              </w:rPr>
            </w:pPr>
            <w:r w:rsidRPr="00C41B78">
              <w:rPr>
                <w:rFonts w:eastAsia="Times New Roman" w:cs="Arial"/>
                <w:szCs w:val="20"/>
                <w:lang w:val="en-GB"/>
              </w:rPr>
              <w:t>4.3%</w:t>
            </w:r>
          </w:p>
        </w:tc>
        <w:tc>
          <w:tcPr>
            <w:tcW w:w="1548" w:type="dxa"/>
            <w:vAlign w:val="bottom"/>
          </w:tcPr>
          <w:p w:rsidR="005F4A30" w:rsidRPr="00C41B78" w:rsidRDefault="005F4A30" w:rsidP="00C41B78">
            <w:pPr>
              <w:jc w:val="right"/>
              <w:rPr>
                <w:lang w:val="en-GB"/>
              </w:rPr>
            </w:pPr>
            <w:r w:rsidRPr="00C41B78">
              <w:rPr>
                <w:rFonts w:eastAsia="Times New Roman" w:cs="Arial"/>
                <w:szCs w:val="20"/>
                <w:lang w:val="en-GB"/>
              </w:rPr>
              <w:t>4.7%</w:t>
            </w:r>
          </w:p>
        </w:tc>
        <w:tc>
          <w:tcPr>
            <w:tcW w:w="1548" w:type="dxa"/>
            <w:vAlign w:val="bottom"/>
          </w:tcPr>
          <w:p w:rsidR="005F4A30" w:rsidRPr="00C41B78" w:rsidRDefault="005F4A30" w:rsidP="00C41B78">
            <w:pPr>
              <w:jc w:val="right"/>
              <w:rPr>
                <w:lang w:val="en-GB"/>
              </w:rPr>
            </w:pPr>
            <w:r w:rsidRPr="00C41B78">
              <w:rPr>
                <w:rFonts w:eastAsia="Times New Roman" w:cs="Arial"/>
                <w:szCs w:val="20"/>
                <w:lang w:val="en-GB"/>
              </w:rPr>
              <w:t>4.8%</w:t>
            </w:r>
          </w:p>
        </w:tc>
        <w:tc>
          <w:tcPr>
            <w:tcW w:w="1548" w:type="dxa"/>
          </w:tcPr>
          <w:p w:rsidR="005F4A30" w:rsidRPr="00C41B78" w:rsidRDefault="005F4A30" w:rsidP="00C41B78">
            <w:pPr>
              <w:jc w:val="right"/>
              <w:rPr>
                <w:lang w:val="en-GB"/>
              </w:rPr>
            </w:pPr>
            <w:r w:rsidRPr="00C41B78">
              <w:rPr>
                <w:lang w:val="en-GB"/>
              </w:rPr>
              <w:t>19.4%</w:t>
            </w:r>
          </w:p>
        </w:tc>
      </w:tr>
      <w:tr w:rsidR="005F4A30">
        <w:tc>
          <w:tcPr>
            <w:tcW w:w="1548" w:type="dxa"/>
          </w:tcPr>
          <w:p w:rsidR="005F4A30" w:rsidRPr="00C41B78" w:rsidRDefault="005F4A30" w:rsidP="00555A4B">
            <w:pPr>
              <w:rPr>
                <w:b/>
                <w:lang w:val="en-GB"/>
              </w:rPr>
            </w:pPr>
            <w:r w:rsidRPr="00C41B78">
              <w:rPr>
                <w:b/>
                <w:lang w:val="en-GB"/>
              </w:rPr>
              <w:t>GDP</w:t>
            </w:r>
          </w:p>
        </w:tc>
        <w:tc>
          <w:tcPr>
            <w:tcW w:w="1548" w:type="dxa"/>
          </w:tcPr>
          <w:p w:rsidR="005F4A30" w:rsidRPr="00C41B78" w:rsidRDefault="00C41B78" w:rsidP="00C41B78">
            <w:pPr>
              <w:jc w:val="right"/>
              <w:rPr>
                <w:lang w:val="en-GB"/>
              </w:rPr>
            </w:pPr>
            <w:r w:rsidRPr="00C41B78">
              <w:rPr>
                <w:rFonts w:eastAsia="Times New Roman" w:cs="Arial"/>
                <w:szCs w:val="20"/>
                <w:lang w:val="en-GB"/>
              </w:rPr>
              <w:t>2.4</w:t>
            </w:r>
            <w:r w:rsidR="005F4A30" w:rsidRPr="00C41B78">
              <w:rPr>
                <w:rFonts w:eastAsia="Times New Roman" w:cs="Arial"/>
                <w:szCs w:val="20"/>
                <w:lang w:val="en-GB"/>
              </w:rPr>
              <w:t>%</w:t>
            </w:r>
          </w:p>
        </w:tc>
        <w:tc>
          <w:tcPr>
            <w:tcW w:w="1548" w:type="dxa"/>
          </w:tcPr>
          <w:p w:rsidR="005F4A30" w:rsidRPr="00C41B78" w:rsidRDefault="005F4A30" w:rsidP="00C41B78">
            <w:pPr>
              <w:jc w:val="right"/>
              <w:rPr>
                <w:lang w:val="en-GB"/>
              </w:rPr>
            </w:pPr>
            <w:r w:rsidRPr="00C41B78">
              <w:rPr>
                <w:rFonts w:eastAsia="Times New Roman" w:cs="Arial"/>
                <w:szCs w:val="20"/>
                <w:lang w:val="en-GB"/>
              </w:rPr>
              <w:t>-</w:t>
            </w:r>
            <w:r w:rsidR="00C41B78" w:rsidRPr="00C41B78">
              <w:rPr>
                <w:rFonts w:eastAsia="Times New Roman" w:cs="Arial"/>
                <w:szCs w:val="20"/>
                <w:lang w:val="en-GB"/>
              </w:rPr>
              <w:t>3.1</w:t>
            </w:r>
            <w:r w:rsidRPr="00C41B78">
              <w:rPr>
                <w:rFonts w:eastAsia="Times New Roman" w:cs="Arial"/>
                <w:szCs w:val="20"/>
                <w:lang w:val="en-GB"/>
              </w:rPr>
              <w:t>%</w:t>
            </w:r>
          </w:p>
        </w:tc>
        <w:tc>
          <w:tcPr>
            <w:tcW w:w="1548" w:type="dxa"/>
          </w:tcPr>
          <w:p w:rsidR="005F4A30" w:rsidRPr="00C41B78" w:rsidRDefault="00C41B78" w:rsidP="00C41B78">
            <w:pPr>
              <w:jc w:val="right"/>
              <w:rPr>
                <w:lang w:val="en-GB"/>
              </w:rPr>
            </w:pPr>
            <w:r w:rsidRPr="00C41B78">
              <w:rPr>
                <w:rFonts w:eastAsia="Times New Roman" w:cs="Arial"/>
                <w:szCs w:val="20"/>
                <w:lang w:val="en-GB"/>
              </w:rPr>
              <w:t>4.8</w:t>
            </w:r>
            <w:r w:rsidR="005F4A30" w:rsidRPr="00C41B78">
              <w:rPr>
                <w:rFonts w:eastAsia="Times New Roman" w:cs="Arial"/>
                <w:szCs w:val="20"/>
                <w:lang w:val="en-GB"/>
              </w:rPr>
              <w:t>%</w:t>
            </w:r>
          </w:p>
        </w:tc>
        <w:tc>
          <w:tcPr>
            <w:tcW w:w="1548" w:type="dxa"/>
          </w:tcPr>
          <w:p w:rsidR="005F4A30" w:rsidRPr="00C41B78" w:rsidRDefault="00C41B78" w:rsidP="00C41B78">
            <w:pPr>
              <w:jc w:val="right"/>
              <w:rPr>
                <w:lang w:val="en-GB"/>
              </w:rPr>
            </w:pPr>
            <w:r w:rsidRPr="00C41B78">
              <w:rPr>
                <w:rFonts w:eastAsia="Times New Roman" w:cs="Arial"/>
                <w:szCs w:val="20"/>
                <w:lang w:val="en-GB"/>
              </w:rPr>
              <w:t>3.5</w:t>
            </w:r>
            <w:r w:rsidR="005F4A30" w:rsidRPr="00C41B78">
              <w:rPr>
                <w:rFonts w:eastAsia="Times New Roman" w:cs="Arial"/>
                <w:szCs w:val="20"/>
                <w:lang w:val="en-GB"/>
              </w:rPr>
              <w:t>%</w:t>
            </w:r>
          </w:p>
        </w:tc>
        <w:tc>
          <w:tcPr>
            <w:tcW w:w="1548" w:type="dxa"/>
          </w:tcPr>
          <w:p w:rsidR="005F4A30" w:rsidRPr="00C41B78" w:rsidRDefault="00C41B78" w:rsidP="00C41B78">
            <w:pPr>
              <w:jc w:val="right"/>
              <w:rPr>
                <w:lang w:val="en-GB"/>
              </w:rPr>
            </w:pPr>
            <w:r w:rsidRPr="00C41B78">
              <w:rPr>
                <w:lang w:val="en-GB"/>
              </w:rPr>
              <w:t>7.6</w:t>
            </w:r>
            <w:r w:rsidR="005F4A30" w:rsidRPr="00C41B78">
              <w:rPr>
                <w:lang w:val="en-GB"/>
              </w:rPr>
              <w:t>%</w:t>
            </w:r>
          </w:p>
        </w:tc>
      </w:tr>
    </w:tbl>
    <w:p w:rsidR="00AF7738" w:rsidRDefault="00555A4B">
      <w:pPr>
        <w:pStyle w:val="Caption"/>
        <w:rPr>
          <w:lang w:val="en-GB"/>
        </w:rPr>
      </w:pPr>
      <w:bookmarkStart w:id="42" w:name="_Toc252202030"/>
      <w:r w:rsidRPr="00E04A13">
        <w:rPr>
          <w:lang w:val="en-GB"/>
        </w:rPr>
        <w:t xml:space="preserve">Table </w:t>
      </w:r>
      <w:r w:rsidR="00EA4FE5" w:rsidRPr="00E04A13">
        <w:rPr>
          <w:lang w:val="en-GB"/>
        </w:rPr>
        <w:fldChar w:fldCharType="begin"/>
      </w:r>
      <w:r w:rsidRPr="00E04A13">
        <w:rPr>
          <w:lang w:val="en-GB"/>
        </w:rPr>
        <w:instrText xml:space="preserve"> SEQ Table \* ARABIC </w:instrText>
      </w:r>
      <w:r w:rsidR="00EA4FE5" w:rsidRPr="00E04A13">
        <w:rPr>
          <w:lang w:val="en-GB"/>
        </w:rPr>
        <w:fldChar w:fldCharType="separate"/>
      </w:r>
      <w:r w:rsidR="00503F5D">
        <w:rPr>
          <w:noProof/>
          <w:lang w:val="en-GB"/>
        </w:rPr>
        <w:t>11</w:t>
      </w:r>
      <w:r w:rsidR="00EA4FE5" w:rsidRPr="00E04A13">
        <w:rPr>
          <w:lang w:val="en-GB"/>
        </w:rPr>
        <w:fldChar w:fldCharType="end"/>
      </w:r>
      <w:r w:rsidRPr="00E04A13">
        <w:rPr>
          <w:lang w:val="en-GB"/>
        </w:rPr>
        <w:t xml:space="preserve">: </w:t>
      </w:r>
      <w:r w:rsidR="00C41B78">
        <w:rPr>
          <w:lang w:val="en-GB"/>
        </w:rPr>
        <w:t>Nominal g</w:t>
      </w:r>
      <w:r w:rsidRPr="00E04A13">
        <w:rPr>
          <w:lang w:val="en-GB"/>
        </w:rPr>
        <w:t>rowth rates i</w:t>
      </w:r>
      <w:r w:rsidR="00503F5D">
        <w:rPr>
          <w:lang w:val="en-GB"/>
        </w:rPr>
        <w:t>n LCEGS and GDP for the UK, 2008</w:t>
      </w:r>
      <w:r w:rsidRPr="00E04A13">
        <w:rPr>
          <w:lang w:val="en-GB"/>
        </w:rPr>
        <w:t>-2011</w:t>
      </w:r>
      <w:bookmarkEnd w:id="42"/>
    </w:p>
    <w:p w:rsidR="00F00CF2" w:rsidRPr="00E04A13" w:rsidRDefault="00F00CF2" w:rsidP="00F00CF2">
      <w:pPr>
        <w:pStyle w:val="Heading2"/>
        <w:spacing w:before="480"/>
        <w:rPr>
          <w:lang w:val="en-GB"/>
        </w:rPr>
      </w:pPr>
      <w:bookmarkStart w:id="43" w:name="_Toc251626646"/>
      <w:r w:rsidRPr="00E04A13">
        <w:rPr>
          <w:lang w:val="en-GB"/>
        </w:rPr>
        <w:t>Non-E</w:t>
      </w:r>
      <w:r w:rsidR="005F4A30">
        <w:rPr>
          <w:lang w:val="en-GB"/>
        </w:rPr>
        <w:t>uropean countries</w:t>
      </w:r>
      <w:bookmarkEnd w:id="43"/>
    </w:p>
    <w:p w:rsidR="00F00CF2" w:rsidRPr="00E04A13" w:rsidRDefault="00F00CF2" w:rsidP="00F00CF2">
      <w:pPr>
        <w:pStyle w:val="Heading3"/>
        <w:spacing w:before="360"/>
        <w:rPr>
          <w:lang w:val="en-GB"/>
        </w:rPr>
      </w:pPr>
      <w:bookmarkStart w:id="44" w:name="_Toc251626647"/>
      <w:r w:rsidRPr="00E04A13">
        <w:rPr>
          <w:lang w:val="en-GB"/>
        </w:rPr>
        <w:t>China</w:t>
      </w:r>
      <w:bookmarkEnd w:id="44"/>
    </w:p>
    <w:p w:rsidR="005D6386" w:rsidRPr="00E04A13" w:rsidRDefault="005D6386" w:rsidP="005D6386">
      <w:pPr>
        <w:rPr>
          <w:lang w:val="en-GB"/>
        </w:rPr>
      </w:pPr>
      <w:r w:rsidRPr="00E04A13">
        <w:rPr>
          <w:lang w:val="en-GB"/>
        </w:rPr>
        <w:t>China has a coordinated clean energy policy, with a focus on manufacturing and installation. It is also focused on producing clean energy technologies for export. The 12</w:t>
      </w:r>
      <w:r w:rsidRPr="00E04A13">
        <w:rPr>
          <w:vertAlign w:val="superscript"/>
          <w:lang w:val="en-GB"/>
        </w:rPr>
        <w:t>th</w:t>
      </w:r>
      <w:r w:rsidRPr="00E04A13">
        <w:rPr>
          <w:lang w:val="en-GB"/>
        </w:rPr>
        <w:t xml:space="preserve"> Five-Year Plan set specific goals for seven emerging industries; three of them are clean energy industries: vehicles; renewables; and clean energy technology.</w:t>
      </w:r>
      <w:r w:rsidRPr="00E04A13">
        <w:rPr>
          <w:rStyle w:val="FootnoteReference"/>
          <w:lang w:val="en-GB"/>
        </w:rPr>
        <w:footnoteReference w:id="36"/>
      </w:r>
      <w:r w:rsidRPr="00E04A13">
        <w:rPr>
          <w:lang w:val="en-GB"/>
        </w:rPr>
        <w:t xml:space="preserve"> The Chinese government’s focus on these industries is to gain a strong market position globally and occupy the high-value-added portions of the value chain, specifically in manufacturing. In its response to the Great Recession, China engaged in the largest amount of direct governmental spending (over $200 billion), with 1/3 of the 2009 stimulus total dedicated to clean economy spending – energy efficiency, rails, grid and water infrastructure.</w:t>
      </w:r>
      <w:r w:rsidRPr="00E04A13">
        <w:rPr>
          <w:rStyle w:val="FootnoteReference"/>
          <w:lang w:val="en-GB"/>
        </w:rPr>
        <w:footnoteReference w:id="37"/>
      </w:r>
      <w:r w:rsidRPr="00E04A13">
        <w:rPr>
          <w:lang w:val="en-GB"/>
        </w:rPr>
        <w:t xml:space="preserve"> As massive amounts of public and private investment have gone into the clean economy and data reliability remains an issue overall with Chinese economic data, it has not been possible to assess whether the Eco-Industries in China have fared better than the economy as a whole. As will be seen below, however, large-scale investment continues and has been growing in the clean economy.</w:t>
      </w:r>
    </w:p>
    <w:p w:rsidR="005D6386" w:rsidRPr="00E04A13" w:rsidRDefault="005D6386" w:rsidP="005D6386">
      <w:pPr>
        <w:rPr>
          <w:lang w:val="en-GB"/>
        </w:rPr>
      </w:pPr>
      <w:r w:rsidRPr="00E04A13">
        <w:rPr>
          <w:lang w:val="en-GB"/>
        </w:rPr>
        <w:t>With its focus on manufacturing, China is a world leader in clean economy production, but the results have not been as robust in terms of R&amp;D investment and environmental results. For example, while China is the world leader in total installed renewable capacity and also produces half of the world’s solar panels and wind turbines, it is also the world’s largest consumer of coal and faces substantial air and water pollution issues.</w:t>
      </w:r>
      <w:r w:rsidRPr="00E04A13">
        <w:rPr>
          <w:rStyle w:val="FootnoteReference"/>
          <w:lang w:val="en-GB"/>
        </w:rPr>
        <w:footnoteReference w:id="38"/>
      </w:r>
      <w:r w:rsidRPr="00E04A13">
        <w:rPr>
          <w:lang w:val="en-GB"/>
        </w:rPr>
        <w:t xml:space="preserve"> In fact, China is already the world’s leading emitter of greenhouse gas emissions and on current trends China’s coal consumption may pass the consumption of the rest of the world combined.</w:t>
      </w:r>
      <w:r w:rsidRPr="00E04A13">
        <w:rPr>
          <w:rStyle w:val="FootnoteReference"/>
          <w:lang w:val="en-GB"/>
        </w:rPr>
        <w:footnoteReference w:id="39"/>
      </w:r>
      <w:r w:rsidRPr="00E04A13">
        <w:rPr>
          <w:lang w:val="en-GB"/>
        </w:rPr>
        <w:t xml:space="preserve"> In light of these significant environmental effects, China has established a set of policy objectives to improve the environmental performance of the economy and reduce natural resource pressures. China has set a carbon intensity target (17% reduction of carbon emissions per unit of GDP), an energy intensity target (16% reduction), and a 30% reduction of water use measured by industrial value added.</w:t>
      </w:r>
      <w:r w:rsidRPr="00E04A13">
        <w:rPr>
          <w:rStyle w:val="FootnoteReference"/>
          <w:lang w:val="en-GB"/>
        </w:rPr>
        <w:footnoteReference w:id="40"/>
      </w:r>
      <w:r w:rsidRPr="00E04A13">
        <w:rPr>
          <w:lang w:val="en-GB"/>
        </w:rPr>
        <w:t xml:space="preserve"> Further, “China wants to grow these sectors from 5 percent of its GDP in 2010 to 15 percent of its GDP by 2020.”</w:t>
      </w:r>
      <w:r w:rsidRPr="00E04A13">
        <w:rPr>
          <w:rStyle w:val="FootnoteReference"/>
          <w:lang w:val="en-GB"/>
        </w:rPr>
        <w:footnoteReference w:id="41"/>
      </w:r>
      <w:r w:rsidRPr="00E04A13">
        <w:rPr>
          <w:lang w:val="en-GB"/>
        </w:rPr>
        <w:t xml:space="preserve"> In the current, 13</w:t>
      </w:r>
      <w:r w:rsidRPr="00E04A13">
        <w:rPr>
          <w:vertAlign w:val="superscript"/>
          <w:lang w:val="en-GB"/>
        </w:rPr>
        <w:t>th</w:t>
      </w:r>
      <w:r w:rsidRPr="00E04A13">
        <w:rPr>
          <w:lang w:val="en-GB"/>
        </w:rPr>
        <w:t xml:space="preserve"> Five-Year Plan, China’s government dictates that 15% of the country’s electricity should come from renewables by 2020, up from 8% in 2012.</w:t>
      </w:r>
      <w:r w:rsidRPr="00E04A13">
        <w:rPr>
          <w:rStyle w:val="FootnoteReference"/>
          <w:lang w:val="en-GB"/>
        </w:rPr>
        <w:footnoteReference w:id="42"/>
      </w:r>
      <w:r w:rsidRPr="00E04A13">
        <w:rPr>
          <w:lang w:val="en-GB"/>
        </w:rPr>
        <w:t xml:space="preserve"> </w:t>
      </w:r>
    </w:p>
    <w:p w:rsidR="005D6386" w:rsidRPr="00E04A13" w:rsidRDefault="005D6386" w:rsidP="005D6386">
      <w:pPr>
        <w:rPr>
          <w:lang w:val="en-GB"/>
        </w:rPr>
      </w:pPr>
      <w:r w:rsidRPr="00E04A13">
        <w:rPr>
          <w:lang w:val="en-GB"/>
        </w:rPr>
        <w:t>China’s global leadership in Eco-Industries</w:t>
      </w:r>
    </w:p>
    <w:p w:rsidR="00933AC0" w:rsidRPr="00E04A13" w:rsidRDefault="005D6386" w:rsidP="00503F5D">
      <w:pPr>
        <w:pStyle w:val="ListBullet"/>
        <w:rPr>
          <w:lang w:val="en-GB"/>
        </w:rPr>
      </w:pPr>
      <w:r w:rsidRPr="00E04A13">
        <w:rPr>
          <w:lang w:val="en-GB"/>
        </w:rPr>
        <w:t>China regained the lead in global new renewable capacity investment in 2012 (retaking 1</w:t>
      </w:r>
      <w:r w:rsidRPr="00E04A13">
        <w:rPr>
          <w:vertAlign w:val="superscript"/>
          <w:lang w:val="en-GB"/>
        </w:rPr>
        <w:t>st</w:t>
      </w:r>
      <w:r w:rsidRPr="00E04A13">
        <w:rPr>
          <w:lang w:val="en-GB"/>
        </w:rPr>
        <w:t xml:space="preserve"> place from the US). Renewables investment reached $66.6 billion in 2012, up from $54.7 in 2011 and $25.0 billion in 2008.</w:t>
      </w:r>
      <w:r w:rsidRPr="00E04A13">
        <w:rPr>
          <w:rStyle w:val="FootnoteReference"/>
          <w:lang w:val="en-GB"/>
        </w:rPr>
        <w:footnoteReference w:id="43"/>
      </w:r>
      <w:r w:rsidRPr="00E04A13">
        <w:rPr>
          <w:lang w:val="en-GB"/>
        </w:rPr>
        <w:t xml:space="preserve"> In 2012, it installed the most </w:t>
      </w:r>
      <w:proofErr w:type="gramStart"/>
      <w:r w:rsidRPr="00E04A13">
        <w:rPr>
          <w:lang w:val="en-GB"/>
        </w:rPr>
        <w:t>hydro power</w:t>
      </w:r>
      <w:proofErr w:type="gramEnd"/>
      <w:r w:rsidRPr="00E04A13">
        <w:rPr>
          <w:lang w:val="en-GB"/>
        </w:rPr>
        <w:t xml:space="preserve"> and solar water heating units globally, was second in new wind capacity; and third in solar </w:t>
      </w:r>
      <w:proofErr w:type="spellStart"/>
      <w:r w:rsidRPr="00E04A13">
        <w:rPr>
          <w:lang w:val="en-GB"/>
        </w:rPr>
        <w:t>pv</w:t>
      </w:r>
      <w:proofErr w:type="spellEnd"/>
      <w:r w:rsidRPr="00E04A13">
        <w:rPr>
          <w:lang w:val="en-GB"/>
        </w:rPr>
        <w:t xml:space="preserve"> installation and ethanol production.</w:t>
      </w:r>
      <w:r w:rsidRPr="00E04A13">
        <w:rPr>
          <w:rStyle w:val="FootnoteReference"/>
          <w:lang w:val="en-GB"/>
        </w:rPr>
        <w:footnoteReference w:id="44"/>
      </w:r>
      <w:r w:rsidRPr="00E04A13">
        <w:rPr>
          <w:lang w:val="en-GB"/>
        </w:rPr>
        <w:t xml:space="preserve"> </w:t>
      </w:r>
    </w:p>
    <w:p w:rsidR="00933AC0" w:rsidRPr="00E04A13" w:rsidRDefault="005D6386" w:rsidP="00503F5D">
      <w:pPr>
        <w:pStyle w:val="ListBullet"/>
        <w:rPr>
          <w:lang w:val="en-GB"/>
        </w:rPr>
      </w:pPr>
      <w:r w:rsidRPr="00E04A13">
        <w:rPr>
          <w:lang w:val="en-GB"/>
        </w:rPr>
        <w:t>China’s added wind power generation in 2012 exceeded added generation from coal; wind power production exceeded nuclear production.</w:t>
      </w:r>
      <w:r w:rsidRPr="00E04A13">
        <w:rPr>
          <w:rStyle w:val="FootnoteReference"/>
          <w:lang w:val="en-GB"/>
        </w:rPr>
        <w:t xml:space="preserve"> </w:t>
      </w:r>
      <w:r w:rsidRPr="00E04A13">
        <w:rPr>
          <w:rStyle w:val="FootnoteReference"/>
          <w:lang w:val="en-GB"/>
        </w:rPr>
        <w:footnoteReference w:id="45"/>
      </w:r>
      <w:r w:rsidRPr="00E04A13">
        <w:rPr>
          <w:lang w:val="en-GB"/>
        </w:rPr>
        <w:t xml:space="preserve"> China also received 25% of global investment in solar energy - $31.2 billion – 37% of global wind investment, and 47% of global investment in all other renewables. China added 23 GW of clean energy generation in 2012.</w:t>
      </w:r>
      <w:r w:rsidRPr="00E04A13">
        <w:rPr>
          <w:rStyle w:val="FootnoteReference"/>
          <w:lang w:val="en-GB"/>
        </w:rPr>
        <w:footnoteReference w:id="46"/>
      </w:r>
      <w:r w:rsidRPr="00E04A13">
        <w:rPr>
          <w:lang w:val="en-GB"/>
        </w:rPr>
        <w:t xml:space="preserve"> </w:t>
      </w:r>
    </w:p>
    <w:p w:rsidR="00933AC0" w:rsidRPr="00E04A13" w:rsidRDefault="005D6386" w:rsidP="00503F5D">
      <w:pPr>
        <w:pStyle w:val="ListBullet"/>
        <w:rPr>
          <w:lang w:val="en-GB"/>
        </w:rPr>
      </w:pPr>
      <w:r w:rsidRPr="00E04A13">
        <w:rPr>
          <w:lang w:val="en-GB"/>
        </w:rPr>
        <w:t>China has the world’s largest amount of total renewable and non-hydro renewable capacity, 125 GW as of 2012.</w:t>
      </w:r>
      <w:r w:rsidRPr="00E04A13">
        <w:rPr>
          <w:rStyle w:val="FootnoteReference"/>
          <w:lang w:val="en-GB"/>
        </w:rPr>
        <w:footnoteReference w:id="47"/>
      </w:r>
      <w:r w:rsidRPr="00E04A13">
        <w:rPr>
          <w:lang w:val="en-GB"/>
        </w:rPr>
        <w:t xml:space="preserve"> Though 80% of this is hydro.  China also produces about half of world solar </w:t>
      </w:r>
      <w:proofErr w:type="spellStart"/>
      <w:proofErr w:type="gramStart"/>
      <w:r w:rsidRPr="00E04A13">
        <w:rPr>
          <w:lang w:val="en-GB"/>
        </w:rPr>
        <w:t>pv</w:t>
      </w:r>
      <w:proofErr w:type="spellEnd"/>
      <w:proofErr w:type="gramEnd"/>
      <w:r w:rsidRPr="00E04A13">
        <w:rPr>
          <w:lang w:val="en-GB"/>
        </w:rPr>
        <w:t xml:space="preserve"> and wind power hardware.</w:t>
      </w:r>
      <w:r w:rsidRPr="00E04A13">
        <w:rPr>
          <w:rStyle w:val="FootnoteReference"/>
          <w:lang w:val="en-GB"/>
        </w:rPr>
        <w:footnoteReference w:id="48"/>
      </w:r>
      <w:r w:rsidRPr="00E04A13">
        <w:rPr>
          <w:lang w:val="en-GB"/>
        </w:rPr>
        <w:t xml:space="preserve"> China, with Europe, leads the world in solar water heating installation; China has the most installed geothermal for direct use as heat and wind capacity in the world too.</w:t>
      </w:r>
      <w:r w:rsidRPr="00E04A13">
        <w:rPr>
          <w:rStyle w:val="FootnoteReference"/>
          <w:lang w:val="en-GB"/>
        </w:rPr>
        <w:footnoteReference w:id="49"/>
      </w:r>
      <w:r w:rsidRPr="00E04A13">
        <w:rPr>
          <w:lang w:val="en-GB"/>
        </w:rPr>
        <w:t xml:space="preserve"> </w:t>
      </w:r>
    </w:p>
    <w:p w:rsidR="00C41B78" w:rsidRDefault="005D6386" w:rsidP="00F00CF2">
      <w:pPr>
        <w:rPr>
          <w:lang w:val="en-GB"/>
        </w:rPr>
      </w:pPr>
      <w:r w:rsidRPr="00E04A13">
        <w:rPr>
          <w:lang w:val="en-GB"/>
        </w:rPr>
        <w:t>Despite China’s world leadership in renewables production and installation, this is embedded in an economy still heavily dependent on coal and an energy-system that has not made a full transition to low-carbon fuels. Moreover, the country’s focus on economic growth and manufacturing in recent decades has resulted in tremendous strain on environmental resources and human health. Other sectors of Eco-Industries should also receive the Chinese government’s attention and dealing with these effects while ensuring growth will be one of the main challenges of future Chinese leadership.</w:t>
      </w:r>
      <w:r w:rsidR="00AA36B3" w:rsidRPr="00E04A13">
        <w:rPr>
          <w:lang w:val="en-GB"/>
        </w:rPr>
        <w:t xml:space="preserve"> </w:t>
      </w:r>
    </w:p>
    <w:p w:rsidR="005D6386" w:rsidRDefault="00AA36B3" w:rsidP="00F00CF2">
      <w:pPr>
        <w:rPr>
          <w:lang w:val="en-GB"/>
        </w:rPr>
      </w:pPr>
      <w:r w:rsidRPr="00E04A13">
        <w:rPr>
          <w:lang w:val="en-GB"/>
        </w:rPr>
        <w:t xml:space="preserve">Despite these caveats, the Chinese government has set an ambitious target for the share of Eco-Industries in the overall economy (15% of GDP by 2020). The EU Commission has proposed a target for industrial activity to make up 20% of GDP by 2020, increasing from 16% currently; however, this target is not binding and does not specify the proportion that Eco-Industries should comprise. Further, as Eco-Industries in China consist primarily of manufacturing activities and combined with its various resource efficiency targets for the manufacturing sectors (i.e. decreased water use per industrial value added), China’s focus on Eco-Industries and their success rivals that of the EU’s. In several respects (the specific economy-wide target and the water-use reduction), it appears to exceed EU ambition; the EU, for example, has no water-use target for industrial value added. Joined with China’s success in dominating the manufacture and installation of a number of renewable energy sectors, China is rightly seen as a focused and real competitor to the EU across Eco-Industries; current policy indicates that China may be placing even more weight on the importance of Eco-Industries than the EU. </w:t>
      </w:r>
    </w:p>
    <w:p w:rsidR="00C41B78" w:rsidRDefault="00C41B78" w:rsidP="00F00CF2">
      <w:pPr>
        <w:rPr>
          <w:lang w:val="en-GB"/>
        </w:rPr>
      </w:pPr>
      <w:r>
        <w:rPr>
          <w:lang w:val="en-GB"/>
        </w:rPr>
        <w:t xml:space="preserve">The LCEGS statistics that underpin the analysis presented in this study, however, do not underpin the </w:t>
      </w:r>
      <w:r w:rsidR="00AD1BBA">
        <w:rPr>
          <w:lang w:val="en-GB"/>
        </w:rPr>
        <w:t>development in Chinese Eco-Industries that other sources suggest. In nominal terms, there has been a slow but steady growth in the study period 2008 – 2011, averaging about 2% per year. Yet these growth rates pale in comparison to nominal GDP, which increased by almost 80% over the same period. This means that the LCEGS has become less important in proportion to the rest of the economy, and may have actually shrunk in real terms. However, an in-depth discussion of this phenomenon would require a much closer look at the underlying data and the way it was collected and processed, which was not feasible in the frame of this exercise.</w:t>
      </w:r>
    </w:p>
    <w:tbl>
      <w:tblPr>
        <w:tblStyle w:val="TableGrid"/>
        <w:tblW w:w="0" w:type="auto"/>
        <w:tblLook w:val="00BF"/>
      </w:tblPr>
      <w:tblGrid>
        <w:gridCol w:w="1548"/>
        <w:gridCol w:w="1548"/>
        <w:gridCol w:w="1548"/>
        <w:gridCol w:w="1548"/>
        <w:gridCol w:w="1548"/>
        <w:gridCol w:w="1548"/>
      </w:tblGrid>
      <w:tr w:rsidR="00AD1BBA">
        <w:tc>
          <w:tcPr>
            <w:tcW w:w="1548" w:type="dxa"/>
          </w:tcPr>
          <w:p w:rsidR="00AD1BBA" w:rsidRDefault="00AD1BBA" w:rsidP="00F00CF2">
            <w:pPr>
              <w:rPr>
                <w:lang w:val="en-GB"/>
              </w:rPr>
            </w:pPr>
          </w:p>
        </w:tc>
        <w:tc>
          <w:tcPr>
            <w:tcW w:w="1548" w:type="dxa"/>
          </w:tcPr>
          <w:p w:rsidR="00AD1BBA" w:rsidRDefault="00AD1BBA" w:rsidP="00AD1BBA">
            <w:pPr>
              <w:jc w:val="center"/>
              <w:rPr>
                <w:lang w:val="en-GB"/>
              </w:rPr>
            </w:pPr>
            <w:r w:rsidRPr="00A311A2">
              <w:rPr>
                <w:lang w:val="en-GB"/>
              </w:rPr>
              <w:t>2008</w:t>
            </w:r>
          </w:p>
        </w:tc>
        <w:tc>
          <w:tcPr>
            <w:tcW w:w="1548" w:type="dxa"/>
          </w:tcPr>
          <w:p w:rsidR="00AD1BBA" w:rsidRDefault="00AD1BBA" w:rsidP="00AD1BBA">
            <w:pPr>
              <w:jc w:val="center"/>
              <w:rPr>
                <w:lang w:val="en-GB"/>
              </w:rPr>
            </w:pPr>
            <w:r w:rsidRPr="00A311A2">
              <w:rPr>
                <w:lang w:val="en-GB"/>
              </w:rPr>
              <w:t>2009</w:t>
            </w:r>
          </w:p>
        </w:tc>
        <w:tc>
          <w:tcPr>
            <w:tcW w:w="1548" w:type="dxa"/>
          </w:tcPr>
          <w:p w:rsidR="00AD1BBA" w:rsidRDefault="00AD1BBA" w:rsidP="00AD1BBA">
            <w:pPr>
              <w:jc w:val="center"/>
              <w:rPr>
                <w:lang w:val="en-GB"/>
              </w:rPr>
            </w:pPr>
            <w:r>
              <w:rPr>
                <w:lang w:val="en-GB"/>
              </w:rPr>
              <w:t>2010</w:t>
            </w:r>
          </w:p>
        </w:tc>
        <w:tc>
          <w:tcPr>
            <w:tcW w:w="1548" w:type="dxa"/>
          </w:tcPr>
          <w:p w:rsidR="00AD1BBA" w:rsidRDefault="00AD1BBA" w:rsidP="00AD1BBA">
            <w:pPr>
              <w:jc w:val="center"/>
              <w:rPr>
                <w:lang w:val="en-GB"/>
              </w:rPr>
            </w:pPr>
            <w:r>
              <w:rPr>
                <w:lang w:val="en-GB"/>
              </w:rPr>
              <w:t>2011</w:t>
            </w:r>
          </w:p>
        </w:tc>
        <w:tc>
          <w:tcPr>
            <w:tcW w:w="1548" w:type="dxa"/>
          </w:tcPr>
          <w:p w:rsidR="00AD1BBA" w:rsidRDefault="00AD1BBA" w:rsidP="00AD1BBA">
            <w:pPr>
              <w:jc w:val="center"/>
              <w:rPr>
                <w:lang w:val="en-GB"/>
              </w:rPr>
            </w:pPr>
            <w:r>
              <w:rPr>
                <w:lang w:val="en-GB"/>
              </w:rPr>
              <w:t>2008 - 2011</w:t>
            </w:r>
          </w:p>
        </w:tc>
      </w:tr>
      <w:tr w:rsidR="00AD1BBA">
        <w:tc>
          <w:tcPr>
            <w:tcW w:w="1548" w:type="dxa"/>
          </w:tcPr>
          <w:p w:rsidR="00AD1BBA" w:rsidRDefault="00AD1BBA" w:rsidP="00F00CF2">
            <w:pPr>
              <w:rPr>
                <w:lang w:val="en-GB"/>
              </w:rPr>
            </w:pPr>
            <w:r w:rsidRPr="00A311A2">
              <w:rPr>
                <w:b/>
                <w:lang w:val="en-GB"/>
              </w:rPr>
              <w:t>LCEGS</w:t>
            </w:r>
          </w:p>
        </w:tc>
        <w:tc>
          <w:tcPr>
            <w:tcW w:w="1548" w:type="dxa"/>
            <w:vAlign w:val="bottom"/>
          </w:tcPr>
          <w:p w:rsidR="00AD1BBA" w:rsidRDefault="00AD1BBA" w:rsidP="00AD1BBA">
            <w:pPr>
              <w:jc w:val="right"/>
              <w:rPr>
                <w:lang w:val="en-GB"/>
              </w:rPr>
            </w:pPr>
            <w:r w:rsidRPr="00A311A2">
              <w:rPr>
                <w:rFonts w:eastAsia="Times New Roman" w:cs="Arial"/>
                <w:sz w:val="20"/>
                <w:szCs w:val="20"/>
                <w:lang w:val="en-GB"/>
              </w:rPr>
              <w:t>1.8%</w:t>
            </w:r>
          </w:p>
        </w:tc>
        <w:tc>
          <w:tcPr>
            <w:tcW w:w="1548" w:type="dxa"/>
            <w:vAlign w:val="bottom"/>
          </w:tcPr>
          <w:p w:rsidR="00AD1BBA" w:rsidRDefault="00AD1BBA" w:rsidP="00AD1BBA">
            <w:pPr>
              <w:jc w:val="right"/>
              <w:rPr>
                <w:lang w:val="en-GB"/>
              </w:rPr>
            </w:pPr>
            <w:r w:rsidRPr="00A311A2">
              <w:rPr>
                <w:rFonts w:eastAsia="Times New Roman" w:cs="Arial"/>
                <w:sz w:val="20"/>
                <w:szCs w:val="20"/>
                <w:lang w:val="en-GB"/>
              </w:rPr>
              <w:t>1.8%</w:t>
            </w:r>
          </w:p>
        </w:tc>
        <w:tc>
          <w:tcPr>
            <w:tcW w:w="1548" w:type="dxa"/>
            <w:vAlign w:val="bottom"/>
          </w:tcPr>
          <w:p w:rsidR="00AD1BBA" w:rsidRDefault="00AD1BBA" w:rsidP="00AD1BBA">
            <w:pPr>
              <w:jc w:val="right"/>
              <w:rPr>
                <w:lang w:val="en-GB"/>
              </w:rPr>
            </w:pPr>
            <w:r w:rsidRPr="00A311A2">
              <w:rPr>
                <w:rFonts w:eastAsia="Times New Roman" w:cs="Arial"/>
                <w:sz w:val="20"/>
                <w:szCs w:val="20"/>
                <w:lang w:val="en-GB"/>
              </w:rPr>
              <w:t>2.0%</w:t>
            </w:r>
          </w:p>
        </w:tc>
        <w:tc>
          <w:tcPr>
            <w:tcW w:w="1548" w:type="dxa"/>
            <w:vAlign w:val="bottom"/>
          </w:tcPr>
          <w:p w:rsidR="00AD1BBA" w:rsidRDefault="00AD1BBA" w:rsidP="00AD1BBA">
            <w:pPr>
              <w:jc w:val="right"/>
              <w:rPr>
                <w:lang w:val="en-GB"/>
              </w:rPr>
            </w:pPr>
            <w:r w:rsidRPr="00A311A2">
              <w:rPr>
                <w:rFonts w:eastAsia="Times New Roman" w:cs="Arial"/>
                <w:sz w:val="20"/>
                <w:szCs w:val="20"/>
                <w:lang w:val="en-GB"/>
              </w:rPr>
              <w:t>2.1%</w:t>
            </w:r>
          </w:p>
        </w:tc>
        <w:tc>
          <w:tcPr>
            <w:tcW w:w="1548" w:type="dxa"/>
          </w:tcPr>
          <w:p w:rsidR="00AD1BBA" w:rsidRDefault="00AD1BBA" w:rsidP="00AD1BBA">
            <w:pPr>
              <w:jc w:val="right"/>
              <w:rPr>
                <w:lang w:val="en-GB"/>
              </w:rPr>
            </w:pPr>
            <w:r w:rsidRPr="00A311A2">
              <w:rPr>
                <w:lang w:val="en-GB"/>
              </w:rPr>
              <w:t>8.0%</w:t>
            </w:r>
          </w:p>
        </w:tc>
      </w:tr>
      <w:tr w:rsidR="00AD1BBA">
        <w:tc>
          <w:tcPr>
            <w:tcW w:w="1548" w:type="dxa"/>
          </w:tcPr>
          <w:p w:rsidR="00AD1BBA" w:rsidRDefault="00AD1BBA" w:rsidP="00F00CF2">
            <w:pPr>
              <w:rPr>
                <w:lang w:val="en-GB"/>
              </w:rPr>
            </w:pPr>
            <w:r w:rsidRPr="00A311A2">
              <w:rPr>
                <w:b/>
                <w:lang w:val="en-GB"/>
              </w:rPr>
              <w:t>GDP</w:t>
            </w:r>
          </w:p>
        </w:tc>
        <w:tc>
          <w:tcPr>
            <w:tcW w:w="1548" w:type="dxa"/>
          </w:tcPr>
          <w:p w:rsidR="00AD1BBA" w:rsidRDefault="00AD1BBA" w:rsidP="00AD1BBA">
            <w:pPr>
              <w:jc w:val="right"/>
              <w:rPr>
                <w:lang w:val="en-GB"/>
              </w:rPr>
            </w:pPr>
            <w:r w:rsidRPr="00A311A2">
              <w:rPr>
                <w:rFonts w:eastAsia="Times New Roman" w:cs="Arial"/>
                <w:sz w:val="20"/>
                <w:szCs w:val="20"/>
                <w:lang w:val="en-GB"/>
              </w:rPr>
              <w:t>18.1%</w:t>
            </w:r>
          </w:p>
        </w:tc>
        <w:tc>
          <w:tcPr>
            <w:tcW w:w="1548" w:type="dxa"/>
          </w:tcPr>
          <w:p w:rsidR="00AD1BBA" w:rsidRDefault="00AD1BBA" w:rsidP="00AD1BBA">
            <w:pPr>
              <w:jc w:val="right"/>
              <w:rPr>
                <w:lang w:val="en-GB"/>
              </w:rPr>
            </w:pPr>
            <w:r w:rsidRPr="00A311A2">
              <w:rPr>
                <w:rFonts w:eastAsia="Times New Roman" w:cs="Arial"/>
                <w:sz w:val="20"/>
                <w:szCs w:val="20"/>
                <w:lang w:val="en-GB"/>
              </w:rPr>
              <w:t>8.6%</w:t>
            </w:r>
          </w:p>
        </w:tc>
        <w:tc>
          <w:tcPr>
            <w:tcW w:w="1548" w:type="dxa"/>
          </w:tcPr>
          <w:p w:rsidR="00AD1BBA" w:rsidRDefault="00AD1BBA" w:rsidP="00AD1BBA">
            <w:pPr>
              <w:jc w:val="right"/>
              <w:rPr>
                <w:lang w:val="en-GB"/>
              </w:rPr>
            </w:pPr>
            <w:r w:rsidRPr="00A311A2">
              <w:rPr>
                <w:rFonts w:eastAsia="Times New Roman" w:cs="Arial"/>
                <w:sz w:val="20"/>
                <w:szCs w:val="20"/>
                <w:lang w:val="en-GB"/>
              </w:rPr>
              <w:t>17.8%</w:t>
            </w:r>
          </w:p>
        </w:tc>
        <w:tc>
          <w:tcPr>
            <w:tcW w:w="1548" w:type="dxa"/>
          </w:tcPr>
          <w:p w:rsidR="00AD1BBA" w:rsidRDefault="00AD1BBA" w:rsidP="00AD1BBA">
            <w:pPr>
              <w:jc w:val="right"/>
              <w:rPr>
                <w:lang w:val="en-GB"/>
              </w:rPr>
            </w:pPr>
            <w:r w:rsidRPr="00A311A2">
              <w:rPr>
                <w:rFonts w:eastAsia="Times New Roman" w:cs="Arial"/>
                <w:sz w:val="20"/>
                <w:szCs w:val="20"/>
                <w:lang w:val="en-GB"/>
              </w:rPr>
              <w:t>17.8%</w:t>
            </w:r>
          </w:p>
        </w:tc>
        <w:tc>
          <w:tcPr>
            <w:tcW w:w="1548" w:type="dxa"/>
          </w:tcPr>
          <w:p w:rsidR="00AD1BBA" w:rsidRDefault="00AD1BBA" w:rsidP="00AD1BBA">
            <w:pPr>
              <w:jc w:val="right"/>
              <w:rPr>
                <w:lang w:val="en-GB"/>
              </w:rPr>
            </w:pPr>
            <w:r w:rsidRPr="00A311A2">
              <w:rPr>
                <w:lang w:val="en-GB"/>
              </w:rPr>
              <w:t>78.0%</w:t>
            </w:r>
          </w:p>
        </w:tc>
      </w:tr>
    </w:tbl>
    <w:p w:rsidR="00C41B78" w:rsidRPr="00E04A13" w:rsidRDefault="00C41B78" w:rsidP="00AD1BBA">
      <w:pPr>
        <w:pStyle w:val="Caption"/>
        <w:rPr>
          <w:lang w:val="en-GB"/>
        </w:rPr>
      </w:pPr>
      <w:bookmarkStart w:id="45" w:name="_Toc252202031"/>
      <w:r w:rsidRPr="00A311A2">
        <w:rPr>
          <w:lang w:val="en-GB"/>
        </w:rPr>
        <w:t xml:space="preserve">Table </w:t>
      </w:r>
      <w:r w:rsidRPr="00A311A2">
        <w:rPr>
          <w:lang w:val="en-GB"/>
        </w:rPr>
        <w:fldChar w:fldCharType="begin"/>
      </w:r>
      <w:r w:rsidRPr="00A311A2">
        <w:rPr>
          <w:lang w:val="en-GB"/>
        </w:rPr>
        <w:instrText xml:space="preserve"> SEQ Table \* ARABIC </w:instrText>
      </w:r>
      <w:r w:rsidRPr="00A311A2">
        <w:rPr>
          <w:lang w:val="en-GB"/>
        </w:rPr>
        <w:fldChar w:fldCharType="separate"/>
      </w:r>
      <w:r w:rsidR="00503F5D">
        <w:rPr>
          <w:noProof/>
          <w:lang w:val="en-GB"/>
        </w:rPr>
        <w:t>12</w:t>
      </w:r>
      <w:r w:rsidRPr="00A311A2">
        <w:rPr>
          <w:lang w:val="en-GB"/>
        </w:rPr>
        <w:fldChar w:fldCharType="end"/>
      </w:r>
      <w:r w:rsidRPr="00A311A2">
        <w:rPr>
          <w:lang w:val="en-GB"/>
        </w:rPr>
        <w:t xml:space="preserve">: </w:t>
      </w:r>
      <w:r w:rsidR="00AD1BBA">
        <w:rPr>
          <w:lang w:val="en-GB"/>
        </w:rPr>
        <w:t>Nominal g</w:t>
      </w:r>
      <w:r w:rsidRPr="00A311A2">
        <w:rPr>
          <w:lang w:val="en-GB"/>
        </w:rPr>
        <w:t>rowth rates in LCEGS and GDP for China, 200</w:t>
      </w:r>
      <w:r w:rsidR="00503F5D">
        <w:rPr>
          <w:lang w:val="en-GB"/>
        </w:rPr>
        <w:t>8</w:t>
      </w:r>
      <w:r w:rsidRPr="00A311A2">
        <w:rPr>
          <w:lang w:val="en-GB"/>
        </w:rPr>
        <w:t>-2011</w:t>
      </w:r>
      <w:bookmarkEnd w:id="45"/>
    </w:p>
    <w:p w:rsidR="00F00CF2" w:rsidRPr="00E04A13" w:rsidRDefault="00F00CF2" w:rsidP="00F00CF2">
      <w:pPr>
        <w:pStyle w:val="Heading3"/>
        <w:spacing w:before="360"/>
        <w:rPr>
          <w:lang w:val="en-GB"/>
        </w:rPr>
      </w:pPr>
      <w:bookmarkStart w:id="46" w:name="_Toc251626648"/>
      <w:r w:rsidRPr="00E04A13">
        <w:rPr>
          <w:lang w:val="en-GB"/>
        </w:rPr>
        <w:t>Mexico</w:t>
      </w:r>
      <w:bookmarkEnd w:id="46"/>
    </w:p>
    <w:p w:rsidR="005D6386" w:rsidRPr="00E04A13" w:rsidRDefault="005D6386" w:rsidP="005D6386">
      <w:pPr>
        <w:rPr>
          <w:rFonts w:cs="Arial"/>
          <w:lang w:val="en-GB"/>
        </w:rPr>
      </w:pPr>
      <w:r w:rsidRPr="00E04A13">
        <w:rPr>
          <w:rFonts w:cs="Arial"/>
          <w:lang w:val="en-GB"/>
        </w:rPr>
        <w:t xml:space="preserve">Mexico is a member of the OECD and one of the world’s largest economies, but it is also one of the poorest members of the group as well. It is a major producer of oil and natural gas, and its energy economy is strongly dependent on the burning of fossil fuels. Despite a series of policy measures (laid out below) to promote the clean economy and Eco-Industries, the </w:t>
      </w:r>
      <w:r w:rsidR="00101620" w:rsidRPr="00E04A13">
        <w:rPr>
          <w:rFonts w:cs="Arial"/>
          <w:lang w:val="en-GB"/>
        </w:rPr>
        <w:t xml:space="preserve">12 December 2013 </w:t>
      </w:r>
      <w:r w:rsidRPr="00E04A13">
        <w:rPr>
          <w:rFonts w:cs="Arial"/>
          <w:lang w:val="en-GB"/>
        </w:rPr>
        <w:t>decision by the Mexican legislature to end PEMEX’s monopoly on oil and gas investment could distract political and economic attention from further development of these industries, not unlike shale oil and gas development in the US, industry.</w:t>
      </w:r>
      <w:r w:rsidRPr="00E04A13">
        <w:rPr>
          <w:rStyle w:val="FootnoteReference"/>
          <w:lang w:val="en-GB"/>
        </w:rPr>
        <w:footnoteReference w:id="50"/>
      </w:r>
      <w:r w:rsidRPr="00E04A13">
        <w:rPr>
          <w:rFonts w:cs="Arial"/>
          <w:lang w:val="en-GB"/>
        </w:rPr>
        <w:t xml:space="preserve"> </w:t>
      </w:r>
    </w:p>
    <w:p w:rsidR="005D6386" w:rsidRPr="00E04A13" w:rsidRDefault="005D6386" w:rsidP="005D6386">
      <w:pPr>
        <w:pStyle w:val="NoSpacing"/>
        <w:spacing w:before="120" w:after="120" w:line="276" w:lineRule="auto"/>
        <w:jc w:val="both"/>
        <w:rPr>
          <w:rFonts w:ascii="Arial" w:hAnsi="Arial" w:cs="Arial"/>
          <w:lang w:val="en-GB"/>
        </w:rPr>
      </w:pPr>
      <w:r w:rsidRPr="00E04A13">
        <w:rPr>
          <w:rFonts w:ascii="Arial" w:hAnsi="Arial" w:cs="Arial"/>
          <w:lang w:val="en-GB"/>
        </w:rPr>
        <w:t>Mexico has made strides in its environmental performance over the previous decade. The OECD estimates that the costs to the economy from environmental degradation fell from 10% of GDP in 2000 to 7% of GDP in 2010.</w:t>
      </w:r>
      <w:r w:rsidR="009051E6" w:rsidRPr="00E04A13">
        <w:rPr>
          <w:rStyle w:val="FootnoteReference"/>
          <w:lang w:val="en-GB"/>
        </w:rPr>
        <w:footnoteReference w:id="51"/>
      </w:r>
      <w:r w:rsidRPr="00E04A13">
        <w:rPr>
          <w:rFonts w:ascii="Arial" w:hAnsi="Arial" w:cs="Arial"/>
          <w:lang w:val="en-GB"/>
        </w:rPr>
        <w:t xml:space="preserve"> With a suite of policies and investments over the last several years – before, during, and after the Great Recession – Mexico has improved its environmentally-important infrastructure. Mexico’s 2009 stimulus package</w:t>
      </w:r>
      <w:r w:rsidR="009051E6" w:rsidRPr="00E04A13">
        <w:rPr>
          <w:rStyle w:val="FootnoteReference"/>
          <w:lang w:val="en-GB"/>
        </w:rPr>
        <w:footnoteReference w:id="52"/>
      </w:r>
      <w:r w:rsidRPr="00E04A13">
        <w:rPr>
          <w:rFonts w:ascii="Arial" w:hAnsi="Arial" w:cs="Arial"/>
          <w:lang w:val="en-GB"/>
        </w:rPr>
        <w:t xml:space="preserve"> in response to the Great Recession, was $ 7.7 billion, $ 0.8 billion was allocated to environmental themes, including $ 0.75 billion to promoting energy efficient buildings.</w:t>
      </w:r>
      <w:r w:rsidR="009051E6" w:rsidRPr="00E04A13">
        <w:rPr>
          <w:rStyle w:val="FootnoteReference"/>
          <w:lang w:val="en-GB"/>
        </w:rPr>
        <w:footnoteReference w:id="53"/>
      </w:r>
      <w:r w:rsidRPr="00E04A13">
        <w:rPr>
          <w:rFonts w:ascii="Arial" w:hAnsi="Arial" w:cs="Arial"/>
          <w:lang w:val="en-GB"/>
        </w:rPr>
        <w:t xml:space="preserve"> Changes to energy and water subsidies would reduce environmental pressures and improve the economic situation of the poor.</w:t>
      </w:r>
      <w:r w:rsidR="009051E6" w:rsidRPr="00E04A13">
        <w:rPr>
          <w:rStyle w:val="FootnoteReference"/>
          <w:lang w:val="en-GB"/>
        </w:rPr>
        <w:footnoteReference w:id="54"/>
      </w:r>
      <w:r w:rsidRPr="00E04A13">
        <w:rPr>
          <w:rFonts w:ascii="Arial" w:hAnsi="Arial" w:cs="Arial"/>
          <w:lang w:val="en-GB"/>
        </w:rPr>
        <w:t xml:space="preserve"> Granular policy changes in the electricity, oil and gas, and transportation sectors would be necessary to realize substantial installation of renewables, reduce energy use in the transportation sector, and reduce emissions.</w:t>
      </w:r>
      <w:r w:rsidR="009051E6" w:rsidRPr="00E04A13">
        <w:rPr>
          <w:rStyle w:val="FootnoteReference"/>
          <w:lang w:val="en-GB"/>
        </w:rPr>
        <w:footnoteReference w:id="55"/>
      </w:r>
    </w:p>
    <w:p w:rsidR="005D6386" w:rsidRDefault="005D6386" w:rsidP="005D6386">
      <w:pPr>
        <w:pStyle w:val="NoSpacing"/>
        <w:spacing w:before="120" w:after="120" w:line="276" w:lineRule="auto"/>
        <w:jc w:val="both"/>
        <w:rPr>
          <w:rFonts w:ascii="Arial" w:hAnsi="Arial" w:cs="Arial"/>
          <w:lang w:val="en-GB"/>
        </w:rPr>
      </w:pPr>
      <w:r w:rsidRPr="00E04A13">
        <w:rPr>
          <w:rFonts w:ascii="Arial" w:hAnsi="Arial" w:cs="Arial"/>
          <w:lang w:val="en-GB"/>
        </w:rPr>
        <w:t>The development of Eco-Industries in Mexico</w:t>
      </w:r>
      <w:r w:rsidRPr="00E04A13">
        <w:rPr>
          <w:rStyle w:val="hps"/>
          <w:rFonts w:ascii="Arial" w:hAnsi="Arial" w:cs="Arial"/>
          <w:lang w:val="en-GB"/>
        </w:rPr>
        <w:t xml:space="preserve"> is still an undertaking in its early stages; the high level of expenditures is explainable in part due to catching up with investment in terms of items like wastewater treatment and water access.</w:t>
      </w:r>
      <w:r w:rsidR="009051E6" w:rsidRPr="00E04A13">
        <w:rPr>
          <w:rStyle w:val="FootnoteReference"/>
          <w:lang w:val="en-GB"/>
        </w:rPr>
        <w:footnoteReference w:id="56"/>
      </w:r>
      <w:r w:rsidRPr="00E04A13">
        <w:rPr>
          <w:rStyle w:val="hps"/>
          <w:rFonts w:ascii="Arial" w:hAnsi="Arial" w:cs="Arial"/>
          <w:lang w:val="en-GB"/>
        </w:rPr>
        <w:t xml:space="preserve"> In addition to its green stimulus investments, Mexico's</w:t>
      </w:r>
      <w:r w:rsidRPr="00E04A13">
        <w:rPr>
          <w:rFonts w:ascii="Arial" w:hAnsi="Arial" w:cs="Arial"/>
          <w:lang w:val="en-GB"/>
        </w:rPr>
        <w:t xml:space="preserve"> </w:t>
      </w:r>
      <w:r w:rsidRPr="00E04A13">
        <w:rPr>
          <w:rStyle w:val="hps"/>
          <w:rFonts w:ascii="Arial" w:hAnsi="Arial" w:cs="Arial"/>
          <w:lang w:val="en-GB"/>
        </w:rPr>
        <w:t>government has</w:t>
      </w:r>
      <w:r w:rsidRPr="00E04A13">
        <w:rPr>
          <w:rFonts w:ascii="Arial" w:hAnsi="Arial" w:cs="Arial"/>
          <w:lang w:val="en-GB"/>
        </w:rPr>
        <w:t xml:space="preserve"> </w:t>
      </w:r>
      <w:r w:rsidRPr="00E04A13">
        <w:rPr>
          <w:rStyle w:val="hps"/>
          <w:rFonts w:ascii="Arial" w:hAnsi="Arial" w:cs="Arial"/>
          <w:lang w:val="en-GB"/>
        </w:rPr>
        <w:t>taken important</w:t>
      </w:r>
      <w:r w:rsidRPr="00E04A13">
        <w:rPr>
          <w:rFonts w:ascii="Arial" w:hAnsi="Arial" w:cs="Arial"/>
          <w:lang w:val="en-GB"/>
        </w:rPr>
        <w:t xml:space="preserve"> policy </w:t>
      </w:r>
      <w:r w:rsidRPr="00E04A13">
        <w:rPr>
          <w:rStyle w:val="hps"/>
          <w:rFonts w:ascii="Arial" w:hAnsi="Arial" w:cs="Arial"/>
          <w:lang w:val="en-GB"/>
        </w:rPr>
        <w:t>steps in addressing growing environmental</w:t>
      </w:r>
      <w:r w:rsidRPr="00E04A13">
        <w:rPr>
          <w:rFonts w:ascii="Arial" w:hAnsi="Arial" w:cs="Arial"/>
          <w:lang w:val="en-GB"/>
        </w:rPr>
        <w:t xml:space="preserve"> challenges</w:t>
      </w:r>
      <w:r w:rsidRPr="00E04A13">
        <w:rPr>
          <w:rStyle w:val="hps"/>
          <w:rFonts w:ascii="Arial" w:hAnsi="Arial" w:cs="Arial"/>
          <w:lang w:val="en-GB"/>
        </w:rPr>
        <w:t xml:space="preserve"> in the last</w:t>
      </w:r>
      <w:r w:rsidRPr="00E04A13">
        <w:rPr>
          <w:rFonts w:ascii="Arial" w:hAnsi="Arial" w:cs="Arial"/>
          <w:lang w:val="en-GB"/>
        </w:rPr>
        <w:t xml:space="preserve"> </w:t>
      </w:r>
      <w:r w:rsidRPr="00E04A13">
        <w:rPr>
          <w:rStyle w:val="hps"/>
          <w:rFonts w:ascii="Arial" w:hAnsi="Arial" w:cs="Arial"/>
          <w:lang w:val="en-GB"/>
        </w:rPr>
        <w:t>few years. T</w:t>
      </w:r>
      <w:r w:rsidRPr="00E04A13">
        <w:rPr>
          <w:rFonts w:ascii="Arial" w:hAnsi="Arial" w:cs="Arial"/>
          <w:lang w:val="en-GB"/>
        </w:rPr>
        <w:t xml:space="preserve">he government enacted the Special Program for Climate Change 2009-2012 (PECC). This program lays out a long-term vision for combating climate change while establishing the </w:t>
      </w:r>
      <w:proofErr w:type="spellStart"/>
      <w:r w:rsidRPr="00E04A13">
        <w:rPr>
          <w:rFonts w:ascii="Arial" w:hAnsi="Arial" w:cs="Arial"/>
          <w:lang w:val="en-GB"/>
        </w:rPr>
        <w:t>sectoral</w:t>
      </w:r>
      <w:proofErr w:type="spellEnd"/>
      <w:r w:rsidRPr="00E04A13">
        <w:rPr>
          <w:rFonts w:ascii="Arial" w:hAnsi="Arial" w:cs="Arial"/>
          <w:lang w:val="en-GB"/>
        </w:rPr>
        <w:t xml:space="preserve"> level interventions that will result in emission reductions.</w:t>
      </w:r>
      <w:r w:rsidR="009051E6" w:rsidRPr="00E04A13">
        <w:rPr>
          <w:rStyle w:val="FootnoteReference"/>
          <w:lang w:val="en-GB"/>
        </w:rPr>
        <w:footnoteReference w:id="57"/>
      </w:r>
      <w:r w:rsidRPr="00E04A13">
        <w:rPr>
          <w:rFonts w:ascii="Arial" w:hAnsi="Arial" w:cs="Arial"/>
          <w:lang w:val="en-GB"/>
        </w:rPr>
        <w:t xml:space="preserve"> The country introduced an Appliances Replacement Program to help households replace appliances with new energy-efficient models. In January 2012, The Ministry of Environment and Natural Resources (SEMARNAT) and UNEP signed a Memorandum of Understanding (MOU) </w:t>
      </w:r>
      <w:bookmarkStart w:id="47" w:name="_GoBack"/>
      <w:bookmarkEnd w:id="47"/>
      <w:r w:rsidRPr="00E04A13">
        <w:rPr>
          <w:rFonts w:ascii="Arial" w:hAnsi="Arial" w:cs="Arial"/>
          <w:lang w:val="en-GB"/>
        </w:rPr>
        <w:t>to facilitate Mexico's transition towards a green economy and low carbon development. In February 2012, the World Bank along with UNEP, OECD and the GGGI launched a new international knowledge</w:t>
      </w:r>
      <w:r w:rsidRPr="00E04A13">
        <w:rPr>
          <w:rFonts w:cs="Arial"/>
          <w:lang w:val="en-GB"/>
        </w:rPr>
        <w:t>‐</w:t>
      </w:r>
      <w:r w:rsidRPr="00E04A13">
        <w:rPr>
          <w:rFonts w:ascii="Arial" w:hAnsi="Arial" w:cs="Arial"/>
          <w:lang w:val="en-GB"/>
        </w:rPr>
        <w:t>sharing platform in Mexico – the Green Growth Knowledge Platform (GGKP) to enhance and expand efforts to identify and address major knowledge gaps in green growth theory and practice, and to help countries design and implement policies to move towards a green economy.</w:t>
      </w:r>
      <w:r w:rsidR="009051E6" w:rsidRPr="00E04A13">
        <w:rPr>
          <w:rStyle w:val="FootnoteReference"/>
          <w:lang w:val="en-GB"/>
        </w:rPr>
        <w:footnoteReference w:id="58"/>
      </w:r>
      <w:r w:rsidRPr="00E04A13">
        <w:rPr>
          <w:rFonts w:ascii="Arial" w:hAnsi="Arial" w:cs="Arial"/>
          <w:lang w:val="en-GB"/>
        </w:rPr>
        <w:t xml:space="preserve"> </w:t>
      </w:r>
    </w:p>
    <w:tbl>
      <w:tblPr>
        <w:tblStyle w:val="TableGrid"/>
        <w:tblW w:w="0" w:type="auto"/>
        <w:tblLook w:val="00BF"/>
      </w:tblPr>
      <w:tblGrid>
        <w:gridCol w:w="1548"/>
        <w:gridCol w:w="1548"/>
        <w:gridCol w:w="1548"/>
        <w:gridCol w:w="1548"/>
        <w:gridCol w:w="1548"/>
        <w:gridCol w:w="1548"/>
      </w:tblGrid>
      <w:tr w:rsidR="001B5CC8" w:rsidRPr="001B5CC8">
        <w:tc>
          <w:tcPr>
            <w:tcW w:w="1548" w:type="dxa"/>
          </w:tcPr>
          <w:p w:rsidR="001B5CC8" w:rsidRPr="001B5CC8" w:rsidRDefault="001B5CC8" w:rsidP="001B5CC8">
            <w:pPr>
              <w:pStyle w:val="NoSpacing"/>
              <w:spacing w:before="120" w:after="120" w:line="276" w:lineRule="auto"/>
              <w:jc w:val="center"/>
              <w:rPr>
                <w:rFonts w:ascii="Arial" w:hAnsi="Arial" w:cs="Arial"/>
                <w:lang w:val="en-GB"/>
              </w:rPr>
            </w:pPr>
          </w:p>
        </w:tc>
        <w:tc>
          <w:tcPr>
            <w:tcW w:w="1548" w:type="dxa"/>
          </w:tcPr>
          <w:p w:rsidR="001B5CC8" w:rsidRPr="001B5CC8" w:rsidRDefault="001B5CC8" w:rsidP="001B5CC8">
            <w:pPr>
              <w:pStyle w:val="NoSpacing"/>
              <w:spacing w:before="120" w:after="120" w:line="276" w:lineRule="auto"/>
              <w:jc w:val="center"/>
              <w:rPr>
                <w:rFonts w:ascii="Arial" w:hAnsi="Arial" w:cs="Arial"/>
                <w:lang w:val="en-GB"/>
              </w:rPr>
            </w:pPr>
            <w:r w:rsidRPr="001B5CC8">
              <w:rPr>
                <w:rFonts w:ascii="Arial" w:hAnsi="Arial"/>
                <w:lang w:val="en-GB"/>
              </w:rPr>
              <w:t>2008</w:t>
            </w:r>
          </w:p>
        </w:tc>
        <w:tc>
          <w:tcPr>
            <w:tcW w:w="1548" w:type="dxa"/>
          </w:tcPr>
          <w:p w:rsidR="001B5CC8" w:rsidRPr="001B5CC8" w:rsidRDefault="001B5CC8" w:rsidP="001B5CC8">
            <w:pPr>
              <w:pStyle w:val="NoSpacing"/>
              <w:spacing w:before="120" w:after="120" w:line="276" w:lineRule="auto"/>
              <w:jc w:val="center"/>
              <w:rPr>
                <w:rFonts w:ascii="Arial" w:hAnsi="Arial" w:cs="Arial"/>
                <w:lang w:val="en-GB"/>
              </w:rPr>
            </w:pPr>
            <w:r w:rsidRPr="001B5CC8">
              <w:rPr>
                <w:rFonts w:ascii="Arial" w:hAnsi="Arial"/>
                <w:lang w:val="en-GB"/>
              </w:rPr>
              <w:t>2009</w:t>
            </w:r>
          </w:p>
        </w:tc>
        <w:tc>
          <w:tcPr>
            <w:tcW w:w="1548" w:type="dxa"/>
          </w:tcPr>
          <w:p w:rsidR="001B5CC8" w:rsidRPr="001B5CC8" w:rsidRDefault="001B5CC8" w:rsidP="001B5CC8">
            <w:pPr>
              <w:pStyle w:val="NoSpacing"/>
              <w:spacing w:before="120" w:after="120" w:line="276" w:lineRule="auto"/>
              <w:jc w:val="center"/>
              <w:rPr>
                <w:rFonts w:ascii="Arial" w:hAnsi="Arial" w:cs="Arial"/>
                <w:lang w:val="en-GB"/>
              </w:rPr>
            </w:pPr>
            <w:r w:rsidRPr="001B5CC8">
              <w:rPr>
                <w:rFonts w:ascii="Arial" w:hAnsi="Arial"/>
                <w:lang w:val="en-GB"/>
              </w:rPr>
              <w:t>2010</w:t>
            </w:r>
          </w:p>
        </w:tc>
        <w:tc>
          <w:tcPr>
            <w:tcW w:w="1548" w:type="dxa"/>
          </w:tcPr>
          <w:p w:rsidR="001B5CC8" w:rsidRPr="001B5CC8" w:rsidRDefault="001B5CC8" w:rsidP="001B5CC8">
            <w:pPr>
              <w:pStyle w:val="NoSpacing"/>
              <w:spacing w:before="120" w:after="120" w:line="276" w:lineRule="auto"/>
              <w:jc w:val="center"/>
              <w:rPr>
                <w:rFonts w:ascii="Arial" w:hAnsi="Arial" w:cs="Arial"/>
                <w:lang w:val="en-GB"/>
              </w:rPr>
            </w:pPr>
            <w:r w:rsidRPr="001B5CC8">
              <w:rPr>
                <w:rFonts w:ascii="Arial" w:hAnsi="Arial"/>
                <w:lang w:val="en-GB"/>
              </w:rPr>
              <w:t>2011</w:t>
            </w:r>
          </w:p>
        </w:tc>
        <w:tc>
          <w:tcPr>
            <w:tcW w:w="1548" w:type="dxa"/>
          </w:tcPr>
          <w:p w:rsidR="001B5CC8" w:rsidRPr="001B5CC8" w:rsidRDefault="00503F5D" w:rsidP="001B5CC8">
            <w:pPr>
              <w:pStyle w:val="NoSpacing"/>
              <w:spacing w:before="120" w:after="120" w:line="276" w:lineRule="auto"/>
              <w:jc w:val="center"/>
              <w:rPr>
                <w:rFonts w:ascii="Arial" w:hAnsi="Arial" w:cs="Arial"/>
                <w:lang w:val="en-GB"/>
              </w:rPr>
            </w:pPr>
            <w:r>
              <w:rPr>
                <w:rFonts w:ascii="Arial" w:hAnsi="Arial"/>
                <w:lang w:val="en-GB"/>
              </w:rPr>
              <w:t>2008</w:t>
            </w:r>
            <w:r w:rsidR="001B5CC8" w:rsidRPr="001B5CC8">
              <w:rPr>
                <w:rFonts w:ascii="Arial" w:hAnsi="Arial"/>
                <w:lang w:val="en-GB"/>
              </w:rPr>
              <w:t>-2011</w:t>
            </w:r>
          </w:p>
        </w:tc>
      </w:tr>
      <w:tr w:rsidR="001B5CC8" w:rsidRPr="001B5CC8">
        <w:tc>
          <w:tcPr>
            <w:tcW w:w="1548" w:type="dxa"/>
          </w:tcPr>
          <w:p w:rsidR="001B5CC8" w:rsidRPr="001B5CC8" w:rsidRDefault="001B5CC8" w:rsidP="005D6386">
            <w:pPr>
              <w:pStyle w:val="NoSpacing"/>
              <w:spacing w:before="120" w:after="120" w:line="276" w:lineRule="auto"/>
              <w:jc w:val="both"/>
              <w:rPr>
                <w:rFonts w:ascii="Arial" w:hAnsi="Arial" w:cs="Arial"/>
                <w:lang w:val="en-GB"/>
              </w:rPr>
            </w:pPr>
            <w:r w:rsidRPr="001B5CC8">
              <w:rPr>
                <w:rFonts w:ascii="Arial" w:hAnsi="Arial"/>
                <w:b/>
                <w:lang w:val="en-GB"/>
              </w:rPr>
              <w:t>LCEGS</w:t>
            </w:r>
          </w:p>
        </w:tc>
        <w:tc>
          <w:tcPr>
            <w:tcW w:w="1548" w:type="dxa"/>
            <w:vAlign w:val="bottom"/>
          </w:tcPr>
          <w:p w:rsidR="001B5CC8" w:rsidRPr="001B5CC8" w:rsidRDefault="001B5CC8" w:rsidP="001B5CC8">
            <w:pPr>
              <w:pStyle w:val="NoSpacing"/>
              <w:spacing w:before="120" w:after="120" w:line="276" w:lineRule="auto"/>
              <w:jc w:val="right"/>
              <w:rPr>
                <w:rFonts w:ascii="Arial" w:hAnsi="Arial" w:cs="Arial"/>
                <w:lang w:val="en-GB"/>
              </w:rPr>
            </w:pPr>
            <w:r w:rsidRPr="001B5CC8">
              <w:rPr>
                <w:rFonts w:ascii="Arial" w:eastAsia="Times New Roman" w:hAnsi="Arial" w:cs="Arial"/>
                <w:szCs w:val="20"/>
                <w:lang w:val="en-GB"/>
              </w:rPr>
              <w:t>5.8%</w:t>
            </w:r>
          </w:p>
        </w:tc>
        <w:tc>
          <w:tcPr>
            <w:tcW w:w="1548" w:type="dxa"/>
            <w:vAlign w:val="bottom"/>
          </w:tcPr>
          <w:p w:rsidR="001B5CC8" w:rsidRPr="001B5CC8" w:rsidRDefault="001B5CC8" w:rsidP="001B5CC8">
            <w:pPr>
              <w:pStyle w:val="NoSpacing"/>
              <w:spacing w:before="120" w:after="120" w:line="276" w:lineRule="auto"/>
              <w:jc w:val="right"/>
              <w:rPr>
                <w:rFonts w:ascii="Arial" w:hAnsi="Arial" w:cs="Arial"/>
                <w:lang w:val="en-GB"/>
              </w:rPr>
            </w:pPr>
            <w:r w:rsidRPr="001B5CC8">
              <w:rPr>
                <w:rFonts w:ascii="Arial" w:eastAsia="Times New Roman" w:hAnsi="Arial" w:cs="Arial"/>
                <w:szCs w:val="20"/>
                <w:lang w:val="en-GB"/>
              </w:rPr>
              <w:t>5.9%</w:t>
            </w:r>
          </w:p>
        </w:tc>
        <w:tc>
          <w:tcPr>
            <w:tcW w:w="1548" w:type="dxa"/>
            <w:vAlign w:val="bottom"/>
          </w:tcPr>
          <w:p w:rsidR="001B5CC8" w:rsidRPr="001B5CC8" w:rsidRDefault="001B5CC8" w:rsidP="001B5CC8">
            <w:pPr>
              <w:pStyle w:val="NoSpacing"/>
              <w:spacing w:before="120" w:after="120" w:line="276" w:lineRule="auto"/>
              <w:jc w:val="right"/>
              <w:rPr>
                <w:rFonts w:ascii="Arial" w:hAnsi="Arial" w:cs="Arial"/>
                <w:lang w:val="en-GB"/>
              </w:rPr>
            </w:pPr>
            <w:r w:rsidRPr="001B5CC8">
              <w:rPr>
                <w:rFonts w:ascii="Arial" w:eastAsia="Times New Roman" w:hAnsi="Arial" w:cs="Arial"/>
                <w:szCs w:val="20"/>
                <w:lang w:val="en-GB"/>
              </w:rPr>
              <w:t>6.5%</w:t>
            </w:r>
          </w:p>
        </w:tc>
        <w:tc>
          <w:tcPr>
            <w:tcW w:w="1548" w:type="dxa"/>
            <w:vAlign w:val="bottom"/>
          </w:tcPr>
          <w:p w:rsidR="001B5CC8" w:rsidRPr="001B5CC8" w:rsidRDefault="001B5CC8" w:rsidP="001B5CC8">
            <w:pPr>
              <w:pStyle w:val="NoSpacing"/>
              <w:spacing w:before="120" w:after="120" w:line="276" w:lineRule="auto"/>
              <w:jc w:val="right"/>
              <w:rPr>
                <w:rFonts w:ascii="Arial" w:hAnsi="Arial" w:cs="Arial"/>
                <w:lang w:val="en-GB"/>
              </w:rPr>
            </w:pPr>
            <w:r w:rsidRPr="001B5CC8">
              <w:rPr>
                <w:rFonts w:ascii="Arial" w:eastAsia="Times New Roman" w:hAnsi="Arial" w:cs="Arial"/>
                <w:szCs w:val="20"/>
                <w:lang w:val="en-GB"/>
              </w:rPr>
              <w:t>6.6%</w:t>
            </w:r>
          </w:p>
        </w:tc>
        <w:tc>
          <w:tcPr>
            <w:tcW w:w="1548" w:type="dxa"/>
          </w:tcPr>
          <w:p w:rsidR="001B5CC8" w:rsidRPr="001B5CC8" w:rsidRDefault="001B5CC8" w:rsidP="001B5CC8">
            <w:pPr>
              <w:pStyle w:val="NoSpacing"/>
              <w:spacing w:before="120" w:after="120" w:line="276" w:lineRule="auto"/>
              <w:jc w:val="right"/>
              <w:rPr>
                <w:rFonts w:ascii="Arial" w:hAnsi="Arial" w:cs="Arial"/>
                <w:lang w:val="en-GB"/>
              </w:rPr>
            </w:pPr>
            <w:r w:rsidRPr="001B5CC8">
              <w:rPr>
                <w:rFonts w:ascii="Arial" w:hAnsi="Arial"/>
                <w:lang w:val="en-GB"/>
              </w:rPr>
              <w:t>27.2%</w:t>
            </w:r>
          </w:p>
        </w:tc>
      </w:tr>
      <w:tr w:rsidR="001B5CC8" w:rsidRPr="001B5CC8">
        <w:tc>
          <w:tcPr>
            <w:tcW w:w="1548" w:type="dxa"/>
          </w:tcPr>
          <w:p w:rsidR="001B5CC8" w:rsidRPr="001B5CC8" w:rsidRDefault="001B5CC8" w:rsidP="005D6386">
            <w:pPr>
              <w:pStyle w:val="NoSpacing"/>
              <w:spacing w:before="120" w:after="120" w:line="276" w:lineRule="auto"/>
              <w:jc w:val="both"/>
              <w:rPr>
                <w:rFonts w:ascii="Arial" w:hAnsi="Arial" w:cs="Arial"/>
                <w:lang w:val="en-GB"/>
              </w:rPr>
            </w:pPr>
            <w:r w:rsidRPr="001B5CC8">
              <w:rPr>
                <w:rFonts w:ascii="Arial" w:hAnsi="Arial"/>
                <w:b/>
                <w:lang w:val="en-GB"/>
              </w:rPr>
              <w:t>GDP</w:t>
            </w:r>
          </w:p>
        </w:tc>
        <w:tc>
          <w:tcPr>
            <w:tcW w:w="1548" w:type="dxa"/>
          </w:tcPr>
          <w:p w:rsidR="001B5CC8" w:rsidRPr="001B5CC8" w:rsidRDefault="001B5CC8" w:rsidP="001B5CC8">
            <w:pPr>
              <w:pStyle w:val="NoSpacing"/>
              <w:spacing w:before="120" w:after="120" w:line="276" w:lineRule="auto"/>
              <w:jc w:val="right"/>
              <w:rPr>
                <w:rFonts w:ascii="Arial" w:hAnsi="Arial" w:cs="Arial"/>
                <w:lang w:val="en-GB"/>
              </w:rPr>
            </w:pPr>
            <w:r w:rsidRPr="001B5CC8">
              <w:rPr>
                <w:rFonts w:ascii="Arial" w:eastAsia="Times New Roman" w:hAnsi="Arial" w:cs="Arial"/>
                <w:szCs w:val="20"/>
                <w:lang w:val="en-GB"/>
              </w:rPr>
              <w:t>7.5%</w:t>
            </w:r>
          </w:p>
        </w:tc>
        <w:tc>
          <w:tcPr>
            <w:tcW w:w="1548" w:type="dxa"/>
          </w:tcPr>
          <w:p w:rsidR="001B5CC8" w:rsidRPr="001B5CC8" w:rsidRDefault="001B5CC8" w:rsidP="001B5CC8">
            <w:pPr>
              <w:pStyle w:val="NoSpacing"/>
              <w:spacing w:before="120" w:after="120" w:line="276" w:lineRule="auto"/>
              <w:jc w:val="right"/>
              <w:rPr>
                <w:rFonts w:ascii="Arial" w:hAnsi="Arial" w:cs="Arial"/>
                <w:lang w:val="en-GB"/>
              </w:rPr>
            </w:pPr>
            <w:r w:rsidRPr="001B5CC8">
              <w:rPr>
                <w:rFonts w:ascii="Arial" w:eastAsia="Times New Roman" w:hAnsi="Arial" w:cs="Arial"/>
                <w:szCs w:val="20"/>
                <w:lang w:val="en-GB"/>
              </w:rPr>
              <w:t>-1.3%</w:t>
            </w:r>
          </w:p>
        </w:tc>
        <w:tc>
          <w:tcPr>
            <w:tcW w:w="1548" w:type="dxa"/>
          </w:tcPr>
          <w:p w:rsidR="001B5CC8" w:rsidRPr="001B5CC8" w:rsidRDefault="001B5CC8" w:rsidP="001B5CC8">
            <w:pPr>
              <w:pStyle w:val="NoSpacing"/>
              <w:spacing w:before="120" w:after="120" w:line="276" w:lineRule="auto"/>
              <w:jc w:val="right"/>
              <w:rPr>
                <w:rFonts w:ascii="Arial" w:hAnsi="Arial" w:cs="Arial"/>
                <w:lang w:val="en-GB"/>
              </w:rPr>
            </w:pPr>
            <w:r w:rsidRPr="001B5CC8">
              <w:rPr>
                <w:rFonts w:ascii="Arial" w:eastAsia="Times New Roman" w:hAnsi="Arial" w:cs="Arial"/>
                <w:szCs w:val="20"/>
                <w:lang w:val="en-GB"/>
              </w:rPr>
              <w:t>9.4%</w:t>
            </w:r>
          </w:p>
        </w:tc>
        <w:tc>
          <w:tcPr>
            <w:tcW w:w="1548" w:type="dxa"/>
          </w:tcPr>
          <w:p w:rsidR="001B5CC8" w:rsidRPr="001B5CC8" w:rsidRDefault="001B5CC8" w:rsidP="001B5CC8">
            <w:pPr>
              <w:pStyle w:val="NoSpacing"/>
              <w:spacing w:before="120" w:after="120" w:line="276" w:lineRule="auto"/>
              <w:jc w:val="right"/>
              <w:rPr>
                <w:rFonts w:ascii="Arial" w:hAnsi="Arial" w:cs="Arial"/>
                <w:lang w:val="en-GB"/>
              </w:rPr>
            </w:pPr>
            <w:r w:rsidRPr="001B5CC8">
              <w:rPr>
                <w:rFonts w:ascii="Arial" w:eastAsia="Times New Roman" w:hAnsi="Arial" w:cs="Arial"/>
                <w:szCs w:val="20"/>
                <w:lang w:val="en-GB"/>
              </w:rPr>
              <w:t>9.0%</w:t>
            </w:r>
          </w:p>
        </w:tc>
        <w:tc>
          <w:tcPr>
            <w:tcW w:w="1548" w:type="dxa"/>
          </w:tcPr>
          <w:p w:rsidR="001B5CC8" w:rsidRPr="001B5CC8" w:rsidRDefault="001B5CC8" w:rsidP="001B5CC8">
            <w:pPr>
              <w:pStyle w:val="NoSpacing"/>
              <w:spacing w:before="120" w:after="120" w:line="276" w:lineRule="auto"/>
              <w:jc w:val="right"/>
              <w:rPr>
                <w:rFonts w:ascii="Arial" w:hAnsi="Arial" w:cs="Arial"/>
                <w:lang w:val="en-GB"/>
              </w:rPr>
            </w:pPr>
            <w:r w:rsidRPr="001B5CC8">
              <w:rPr>
                <w:rFonts w:ascii="Arial" w:hAnsi="Arial"/>
                <w:lang w:val="en-GB"/>
              </w:rPr>
              <w:t>26.6%</w:t>
            </w:r>
          </w:p>
        </w:tc>
      </w:tr>
    </w:tbl>
    <w:p w:rsidR="00AD1BBA" w:rsidRPr="00A311A2" w:rsidRDefault="00AD1BBA" w:rsidP="00AD1BBA">
      <w:pPr>
        <w:pStyle w:val="Caption"/>
        <w:rPr>
          <w:lang w:val="en-GB"/>
        </w:rPr>
      </w:pPr>
      <w:bookmarkStart w:id="48" w:name="_Ref377650268"/>
      <w:bookmarkStart w:id="49" w:name="_Toc252202032"/>
      <w:r w:rsidRPr="00A311A2">
        <w:rPr>
          <w:lang w:val="en-GB"/>
        </w:rPr>
        <w:t xml:space="preserve">Table </w:t>
      </w:r>
      <w:r w:rsidRPr="00A311A2">
        <w:rPr>
          <w:lang w:val="en-GB"/>
        </w:rPr>
        <w:fldChar w:fldCharType="begin"/>
      </w:r>
      <w:r w:rsidRPr="00A311A2">
        <w:rPr>
          <w:lang w:val="en-GB"/>
        </w:rPr>
        <w:instrText xml:space="preserve"> SEQ Table \* ARABIC </w:instrText>
      </w:r>
      <w:r w:rsidRPr="00A311A2">
        <w:rPr>
          <w:lang w:val="en-GB"/>
        </w:rPr>
        <w:fldChar w:fldCharType="separate"/>
      </w:r>
      <w:r w:rsidR="00503F5D">
        <w:rPr>
          <w:noProof/>
          <w:lang w:val="en-GB"/>
        </w:rPr>
        <w:t>13</w:t>
      </w:r>
      <w:r w:rsidRPr="00A311A2">
        <w:rPr>
          <w:lang w:val="en-GB"/>
        </w:rPr>
        <w:fldChar w:fldCharType="end"/>
      </w:r>
      <w:bookmarkEnd w:id="48"/>
      <w:r w:rsidRPr="00A311A2">
        <w:rPr>
          <w:lang w:val="en-GB"/>
        </w:rPr>
        <w:t xml:space="preserve">: </w:t>
      </w:r>
      <w:r w:rsidR="00503F5D">
        <w:rPr>
          <w:lang w:val="en-GB"/>
        </w:rPr>
        <w:t>Nominal g</w:t>
      </w:r>
      <w:r w:rsidRPr="00A311A2">
        <w:rPr>
          <w:lang w:val="en-GB"/>
        </w:rPr>
        <w:t>rowth rates in LCEGS and GDP for Mexico, 200</w:t>
      </w:r>
      <w:r w:rsidR="00503F5D">
        <w:rPr>
          <w:lang w:val="en-GB"/>
        </w:rPr>
        <w:t>8</w:t>
      </w:r>
      <w:r w:rsidRPr="00A311A2">
        <w:rPr>
          <w:lang w:val="en-GB"/>
        </w:rPr>
        <w:t>-2011</w:t>
      </w:r>
      <w:bookmarkEnd w:id="49"/>
    </w:p>
    <w:p w:rsidR="005D6386" w:rsidRPr="00E04A13" w:rsidRDefault="005D6386" w:rsidP="005D6386">
      <w:pPr>
        <w:pStyle w:val="NoSpacing"/>
        <w:spacing w:before="120" w:after="120" w:line="276" w:lineRule="auto"/>
        <w:jc w:val="both"/>
        <w:rPr>
          <w:rFonts w:ascii="Arial" w:hAnsi="Arial" w:cs="Arial"/>
          <w:lang w:val="en-GB"/>
        </w:rPr>
      </w:pPr>
      <w:r w:rsidRPr="00E04A13">
        <w:rPr>
          <w:rFonts w:ascii="Arial" w:hAnsi="Arial" w:cs="Arial"/>
          <w:lang w:val="en-GB"/>
        </w:rPr>
        <w:t xml:space="preserve">The LCEGS growth from 2007 to 2012 shows that Mexico has by far the highest growth rate overall, of over 25%; this compares </w:t>
      </w:r>
      <w:r w:rsidR="007F1B9B" w:rsidRPr="00E04A13">
        <w:rPr>
          <w:rFonts w:ascii="Arial" w:hAnsi="Arial" w:cs="Arial"/>
          <w:lang w:val="en-GB"/>
        </w:rPr>
        <w:t>favourably</w:t>
      </w:r>
      <w:r w:rsidRPr="00E04A13">
        <w:rPr>
          <w:rFonts w:ascii="Arial" w:hAnsi="Arial" w:cs="Arial"/>
          <w:lang w:val="en-GB"/>
        </w:rPr>
        <w:t xml:space="preserve"> to the US (just above 5%), China (8%) and Germany (just above 13%) </w:t>
      </w:r>
      <w:r w:rsidR="00BF64CC" w:rsidRPr="00E04A13">
        <w:rPr>
          <w:rFonts w:ascii="Arial" w:hAnsi="Arial" w:cs="Arial"/>
          <w:lang w:val="en-GB"/>
        </w:rPr>
        <w:t>–</w:t>
      </w:r>
      <w:r w:rsidRPr="00E04A13">
        <w:rPr>
          <w:rFonts w:ascii="Arial" w:hAnsi="Arial" w:cs="Arial"/>
          <w:lang w:val="en-GB"/>
        </w:rPr>
        <w:t xml:space="preserve"> </w:t>
      </w:r>
      <w:r w:rsidRPr="001B5CC8">
        <w:rPr>
          <w:rFonts w:ascii="Arial" w:hAnsi="Arial" w:cs="Arial"/>
          <w:lang w:val="en-GB"/>
        </w:rPr>
        <w:t>see</w:t>
      </w:r>
      <w:r w:rsidR="00BF64CC" w:rsidRPr="001B5CC8">
        <w:rPr>
          <w:rFonts w:ascii="Arial" w:hAnsi="Arial" w:cs="Arial"/>
          <w:lang w:val="en-GB"/>
        </w:rPr>
        <w:t xml:space="preserve"> </w:t>
      </w:r>
      <w:r w:rsidR="00EA4FE5" w:rsidRPr="001B5CC8">
        <w:rPr>
          <w:rFonts w:ascii="Arial" w:hAnsi="Arial" w:cs="Arial"/>
          <w:lang w:val="en-GB"/>
        </w:rPr>
        <w:fldChar w:fldCharType="begin"/>
      </w:r>
      <w:r w:rsidR="00BF64CC" w:rsidRPr="001B5CC8">
        <w:rPr>
          <w:rFonts w:ascii="Arial" w:hAnsi="Arial" w:cs="Arial"/>
          <w:lang w:val="en-GB"/>
        </w:rPr>
        <w:instrText xml:space="preserve"> REF _Ref249437288 \h </w:instrText>
      </w:r>
      <w:r w:rsidR="00024B34" w:rsidRPr="001B5CC8">
        <w:rPr>
          <w:rFonts w:ascii="Arial" w:hAnsi="Arial" w:cs="Arial"/>
          <w:lang w:val="en-GB"/>
        </w:rPr>
      </w:r>
      <w:r w:rsidR="00EA4FE5" w:rsidRPr="001B5CC8">
        <w:rPr>
          <w:rFonts w:ascii="Arial" w:hAnsi="Arial" w:cs="Arial"/>
          <w:lang w:val="en-GB"/>
        </w:rPr>
        <w:fldChar w:fldCharType="separate"/>
      </w:r>
      <w:r w:rsidR="00503F5D" w:rsidRPr="00E04A13">
        <w:rPr>
          <w:lang w:val="en-GB"/>
        </w:rPr>
        <w:t xml:space="preserve">Table </w:t>
      </w:r>
      <w:r w:rsidR="00503F5D">
        <w:rPr>
          <w:noProof/>
          <w:lang w:val="en-GB"/>
        </w:rPr>
        <w:t>2</w:t>
      </w:r>
      <w:r w:rsidR="00EA4FE5" w:rsidRPr="001B5CC8">
        <w:rPr>
          <w:rFonts w:ascii="Arial" w:hAnsi="Arial" w:cs="Arial"/>
          <w:lang w:val="en-GB"/>
        </w:rPr>
        <w:fldChar w:fldCharType="end"/>
      </w:r>
      <w:r w:rsidRPr="001B5CC8">
        <w:rPr>
          <w:rFonts w:ascii="Arial" w:hAnsi="Arial" w:cs="Arial"/>
          <w:lang w:val="en-GB"/>
        </w:rPr>
        <w:t>. However</w:t>
      </w:r>
      <w:r w:rsidRPr="00E04A13">
        <w:rPr>
          <w:rFonts w:ascii="Arial" w:hAnsi="Arial" w:cs="Arial"/>
          <w:lang w:val="en-GB"/>
        </w:rPr>
        <w:t xml:space="preserve">, this is mostly a statistical </w:t>
      </w:r>
      <w:proofErr w:type="spellStart"/>
      <w:r w:rsidRPr="00E04A13">
        <w:rPr>
          <w:rFonts w:ascii="Arial" w:hAnsi="Arial" w:cs="Arial"/>
          <w:lang w:val="en-GB"/>
        </w:rPr>
        <w:t>artifact</w:t>
      </w:r>
      <w:proofErr w:type="spellEnd"/>
      <w:r w:rsidRPr="00E04A13">
        <w:rPr>
          <w:rFonts w:ascii="Arial" w:hAnsi="Arial" w:cs="Arial"/>
          <w:lang w:val="en-GB"/>
        </w:rPr>
        <w:t xml:space="preserve"> of Mexico’s starting position in terms of environmental and clean economy investments (low). Large</w:t>
      </w:r>
      <w:r w:rsidR="001C3C0F" w:rsidRPr="00E04A13">
        <w:rPr>
          <w:rFonts w:ascii="Arial" w:hAnsi="Arial" w:cs="Arial"/>
          <w:lang w:val="en-GB"/>
        </w:rPr>
        <w:t xml:space="preserve"> </w:t>
      </w:r>
      <w:r w:rsidRPr="00E04A13">
        <w:rPr>
          <w:rFonts w:ascii="Arial" w:hAnsi="Arial" w:cs="Arial"/>
          <w:lang w:val="en-GB"/>
        </w:rPr>
        <w:t>investments</w:t>
      </w:r>
      <w:r w:rsidR="001C3C0F" w:rsidRPr="00E04A13">
        <w:rPr>
          <w:rFonts w:ascii="Arial" w:hAnsi="Arial" w:cs="Arial"/>
          <w:lang w:val="en-GB"/>
        </w:rPr>
        <w:t xml:space="preserve">, for Mexico, </w:t>
      </w:r>
      <w:r w:rsidRPr="00E04A13">
        <w:rPr>
          <w:rFonts w:ascii="Arial" w:hAnsi="Arial" w:cs="Arial"/>
          <w:lang w:val="en-GB"/>
        </w:rPr>
        <w:t xml:space="preserve">in these areas have produced sizable growth, but Mexico remains a small-scale player in Eco-Industry markets as yet. </w:t>
      </w:r>
      <w:r w:rsidRPr="00E04A13">
        <w:rPr>
          <w:rStyle w:val="hps"/>
          <w:rFonts w:ascii="Arial" w:hAnsi="Arial" w:cs="Arial"/>
          <w:lang w:val="en-GB"/>
        </w:rPr>
        <w:t>Mexico</w:t>
      </w:r>
      <w:r w:rsidRPr="00E04A13">
        <w:rPr>
          <w:rFonts w:ascii="Arial" w:hAnsi="Arial" w:cs="Arial"/>
          <w:lang w:val="en-GB"/>
        </w:rPr>
        <w:t xml:space="preserve"> </w:t>
      </w:r>
      <w:r w:rsidRPr="00E04A13">
        <w:rPr>
          <w:rStyle w:val="hps"/>
          <w:rFonts w:ascii="Arial" w:hAnsi="Arial" w:cs="Arial"/>
          <w:lang w:val="en-GB"/>
        </w:rPr>
        <w:t>stands out</w:t>
      </w:r>
      <w:r w:rsidRPr="00E04A13">
        <w:rPr>
          <w:rFonts w:ascii="Arial" w:hAnsi="Arial" w:cs="Arial"/>
          <w:lang w:val="en-GB"/>
        </w:rPr>
        <w:t xml:space="preserve"> </w:t>
      </w:r>
      <w:r w:rsidRPr="00E04A13">
        <w:rPr>
          <w:rStyle w:val="hps"/>
          <w:rFonts w:ascii="Arial" w:hAnsi="Arial" w:cs="Arial"/>
          <w:lang w:val="en-GB"/>
        </w:rPr>
        <w:t>because</w:t>
      </w:r>
      <w:r w:rsidRPr="00E04A13">
        <w:rPr>
          <w:rFonts w:ascii="Arial" w:hAnsi="Arial" w:cs="Arial"/>
          <w:lang w:val="en-GB"/>
        </w:rPr>
        <w:t xml:space="preserve"> </w:t>
      </w:r>
      <w:r w:rsidRPr="00E04A13">
        <w:rPr>
          <w:rStyle w:val="hps"/>
          <w:rFonts w:ascii="Arial" w:hAnsi="Arial" w:cs="Arial"/>
          <w:lang w:val="en-GB"/>
        </w:rPr>
        <w:t>Mexico</w:t>
      </w:r>
      <w:r w:rsidRPr="00E04A13">
        <w:rPr>
          <w:rFonts w:ascii="Arial" w:hAnsi="Arial" w:cs="Arial"/>
          <w:lang w:val="en-GB"/>
        </w:rPr>
        <w:t xml:space="preserve"> has just started </w:t>
      </w:r>
      <w:r w:rsidRPr="00E04A13">
        <w:rPr>
          <w:rStyle w:val="hps"/>
          <w:rFonts w:ascii="Arial" w:hAnsi="Arial" w:cs="Arial"/>
          <w:lang w:val="en-GB"/>
        </w:rPr>
        <w:t>making public investments</w:t>
      </w:r>
      <w:r w:rsidRPr="00E04A13">
        <w:rPr>
          <w:rFonts w:ascii="Arial" w:hAnsi="Arial" w:cs="Arial"/>
          <w:lang w:val="en-GB"/>
        </w:rPr>
        <w:t xml:space="preserve"> </w:t>
      </w:r>
      <w:r w:rsidRPr="00E04A13">
        <w:rPr>
          <w:rStyle w:val="hps"/>
          <w:rFonts w:ascii="Arial" w:hAnsi="Arial" w:cs="Arial"/>
          <w:lang w:val="en-GB"/>
        </w:rPr>
        <w:t>in</w:t>
      </w:r>
      <w:r w:rsidRPr="00E04A13">
        <w:rPr>
          <w:rFonts w:ascii="Arial" w:hAnsi="Arial" w:cs="Arial"/>
          <w:lang w:val="en-GB"/>
        </w:rPr>
        <w:t xml:space="preserve"> </w:t>
      </w:r>
      <w:r w:rsidRPr="00E04A13">
        <w:rPr>
          <w:rFonts w:ascii="Arial" w:hAnsi="Arial" w:cs="Arial"/>
          <w:color w:val="000000"/>
          <w:lang w:val="en-GB"/>
        </w:rPr>
        <w:t>environ</w:t>
      </w:r>
      <w:r w:rsidRPr="00E04A13">
        <w:rPr>
          <w:rFonts w:ascii="Arial" w:hAnsi="Arial" w:cs="Arial"/>
          <w:color w:val="000000"/>
          <w:lang w:val="en-GB"/>
        </w:rPr>
        <w:softHyphen/>
        <w:t>mentally related infrastructure</w:t>
      </w:r>
      <w:r w:rsidRPr="00E04A13">
        <w:rPr>
          <w:rFonts w:ascii="Arial" w:eastAsia="Times New Roman" w:hAnsi="Arial" w:cs="Arial"/>
          <w:lang w:val="en-GB"/>
        </w:rPr>
        <w:t xml:space="preserve"> </w:t>
      </w:r>
      <w:r w:rsidRPr="00E04A13">
        <w:rPr>
          <w:rStyle w:val="hps"/>
          <w:rFonts w:ascii="Arial" w:hAnsi="Arial" w:cs="Arial"/>
          <w:lang w:val="en-GB"/>
        </w:rPr>
        <w:t>and in promoting</w:t>
      </w:r>
      <w:r w:rsidRPr="00E04A13">
        <w:rPr>
          <w:rStyle w:val="A17"/>
          <w:rFonts w:ascii="Arial" w:hAnsi="Arial" w:cs="Arial"/>
          <w:sz w:val="22"/>
          <w:szCs w:val="22"/>
          <w:lang w:val="en-GB"/>
        </w:rPr>
        <w:t xml:space="preserve"> renewable energy sources </w:t>
      </w:r>
      <w:r w:rsidRPr="00E04A13">
        <w:rPr>
          <w:rStyle w:val="hps"/>
          <w:rFonts w:ascii="Arial" w:hAnsi="Arial" w:cs="Arial"/>
          <w:lang w:val="en-GB"/>
        </w:rPr>
        <w:t>in the 2000s which</w:t>
      </w:r>
      <w:r w:rsidRPr="00E04A13">
        <w:rPr>
          <w:rFonts w:ascii="Arial" w:hAnsi="Arial" w:cs="Arial"/>
          <w:lang w:val="en-GB"/>
        </w:rPr>
        <w:t xml:space="preserve"> exceed </w:t>
      </w:r>
      <w:r w:rsidRPr="00E04A13">
        <w:rPr>
          <w:rStyle w:val="hps"/>
          <w:rFonts w:ascii="Arial" w:hAnsi="Arial" w:cs="Arial"/>
          <w:lang w:val="en-GB"/>
        </w:rPr>
        <w:t>other economic</w:t>
      </w:r>
      <w:r w:rsidRPr="00E04A13">
        <w:rPr>
          <w:rFonts w:ascii="Arial" w:hAnsi="Arial" w:cs="Arial"/>
          <w:lang w:val="en-GB"/>
        </w:rPr>
        <w:t xml:space="preserve"> </w:t>
      </w:r>
      <w:r w:rsidRPr="00E04A13">
        <w:rPr>
          <w:rStyle w:val="hps"/>
          <w:rFonts w:ascii="Arial" w:hAnsi="Arial" w:cs="Arial"/>
          <w:lang w:val="en-GB"/>
        </w:rPr>
        <w:t>investments</w:t>
      </w:r>
      <w:r w:rsidRPr="00E04A13">
        <w:rPr>
          <w:rFonts w:ascii="Arial" w:hAnsi="Arial" w:cs="Arial"/>
          <w:lang w:val="en-GB"/>
        </w:rPr>
        <w:t xml:space="preserve"> </w:t>
      </w:r>
      <w:r w:rsidRPr="00E04A13">
        <w:rPr>
          <w:rStyle w:val="hps"/>
          <w:rFonts w:ascii="Arial" w:hAnsi="Arial" w:cs="Arial"/>
          <w:lang w:val="en-GB"/>
        </w:rPr>
        <w:t>as measured by the</w:t>
      </w:r>
      <w:r w:rsidRPr="00E04A13">
        <w:rPr>
          <w:rFonts w:ascii="Arial" w:hAnsi="Arial" w:cs="Arial"/>
          <w:lang w:val="en-GB"/>
        </w:rPr>
        <w:t xml:space="preserve"> </w:t>
      </w:r>
      <w:r w:rsidRPr="00E04A13">
        <w:rPr>
          <w:rStyle w:val="hps"/>
          <w:rFonts w:ascii="Arial" w:hAnsi="Arial" w:cs="Arial"/>
          <w:lang w:val="en-GB"/>
        </w:rPr>
        <w:t>GDP</w:t>
      </w:r>
      <w:r w:rsidRPr="00E04A13">
        <w:rPr>
          <w:rFonts w:ascii="Arial" w:hAnsi="Arial" w:cs="Arial"/>
          <w:lang w:val="en-GB"/>
        </w:rPr>
        <w:t xml:space="preserve">. Over the past decade, environmental sustainability has been given a higher profile in Mexico‘s policy agenda. For example in 2010 Mexico’s hydropower </w:t>
      </w:r>
      <w:r w:rsidRPr="00E04A13">
        <w:rPr>
          <w:rStyle w:val="A17"/>
          <w:rFonts w:ascii="Arial" w:hAnsi="Arial" w:cs="Arial"/>
          <w:sz w:val="22"/>
          <w:szCs w:val="22"/>
          <w:lang w:val="en-GB"/>
        </w:rPr>
        <w:t>achieved the largest absolute increase in renewable energy investment in Latin America.</w:t>
      </w:r>
      <w:r w:rsidRPr="00E04A13">
        <w:rPr>
          <w:rFonts w:ascii="Arial" w:hAnsi="Arial" w:cs="Arial"/>
          <w:lang w:val="en-GB"/>
        </w:rPr>
        <w:t xml:space="preserve"> The annual Global Growth Rate shows a relatively high percentage of a 6,6 % increase in LCEGS Sales in Mexico for 2011/12, which is an explanation for the rather low level of economic maturity. The more mature economies show lower annual growth trends, but from a higher economic base. </w:t>
      </w:r>
    </w:p>
    <w:p w:rsidR="005D6386" w:rsidRPr="00E04A13" w:rsidRDefault="005D6386" w:rsidP="005D6386">
      <w:pPr>
        <w:rPr>
          <w:rFonts w:cs="Arial"/>
          <w:lang w:val="en-GB"/>
        </w:rPr>
      </w:pPr>
      <w:r w:rsidRPr="00E04A13">
        <w:rPr>
          <w:rFonts w:cs="Arial"/>
          <w:lang w:val="en-GB"/>
        </w:rPr>
        <w:t xml:space="preserve">Mexican global leadership in Eco-Industries </w:t>
      </w:r>
    </w:p>
    <w:p w:rsidR="005D6386" w:rsidRPr="00E04A13" w:rsidRDefault="005D6386" w:rsidP="005D6386">
      <w:pPr>
        <w:numPr>
          <w:ilvl w:val="0"/>
          <w:numId w:val="28"/>
        </w:numPr>
        <w:jc w:val="left"/>
        <w:rPr>
          <w:rFonts w:cs="Arial"/>
          <w:lang w:val="en-GB"/>
        </w:rPr>
      </w:pPr>
      <w:r w:rsidRPr="00E04A13">
        <w:rPr>
          <w:rFonts w:cs="Arial"/>
          <w:lang w:val="en-GB"/>
        </w:rPr>
        <w:t>Mexico is not a global leader in any Eco-Industries, with the possible exception of geothermal power production, where it ranks 4</w:t>
      </w:r>
      <w:r w:rsidRPr="00E04A13">
        <w:rPr>
          <w:rFonts w:cs="Arial"/>
          <w:vertAlign w:val="superscript"/>
          <w:lang w:val="en-GB"/>
        </w:rPr>
        <w:t>th</w:t>
      </w:r>
      <w:r w:rsidRPr="00E04A13">
        <w:rPr>
          <w:rFonts w:cs="Arial"/>
          <w:lang w:val="en-GB"/>
        </w:rPr>
        <w:t xml:space="preserve"> globally in installed capacity.</w:t>
      </w:r>
      <w:r w:rsidRPr="00E04A13">
        <w:rPr>
          <w:rStyle w:val="FootnoteReference"/>
          <w:lang w:val="en-GB"/>
        </w:rPr>
        <w:footnoteReference w:id="59"/>
      </w:r>
      <w:r w:rsidRPr="00E04A13">
        <w:rPr>
          <w:rFonts w:cs="Arial"/>
          <w:lang w:val="en-GB"/>
        </w:rPr>
        <w:t xml:space="preserve">  </w:t>
      </w:r>
    </w:p>
    <w:p w:rsidR="005D6386" w:rsidRPr="00E04A13" w:rsidRDefault="005D6386" w:rsidP="005D6386">
      <w:pPr>
        <w:numPr>
          <w:ilvl w:val="0"/>
          <w:numId w:val="28"/>
        </w:numPr>
        <w:jc w:val="left"/>
        <w:rPr>
          <w:rFonts w:cs="Arial"/>
          <w:lang w:val="en-GB"/>
        </w:rPr>
      </w:pPr>
      <w:r w:rsidRPr="00E04A13">
        <w:rPr>
          <w:rFonts w:cs="Arial"/>
          <w:lang w:val="en-GB"/>
        </w:rPr>
        <w:t>Mexico derived 6.9% of its primary energy and 16% of its electricity from all renewable sources in 2012.</w:t>
      </w:r>
      <w:r w:rsidRPr="00E04A13">
        <w:rPr>
          <w:rStyle w:val="FootnoteReference"/>
          <w:lang w:val="en-GB"/>
        </w:rPr>
        <w:footnoteReference w:id="60"/>
      </w:r>
    </w:p>
    <w:p w:rsidR="00F00CF2" w:rsidRPr="00E04A13" w:rsidRDefault="005D6386" w:rsidP="005D6386">
      <w:pPr>
        <w:rPr>
          <w:lang w:val="en-GB"/>
        </w:rPr>
      </w:pPr>
      <w:r w:rsidRPr="00E04A13">
        <w:rPr>
          <w:rFonts w:cs="Arial"/>
          <w:lang w:val="en-GB"/>
        </w:rPr>
        <w:t>To improve its position in Eco-Industries, Mexico must continue its policy focus on green initiatives, reform its electricity and transportation systems, encourage renewable energy installation, and develop specific measures to support the development of whole value chains for certain Eco-Industries.</w:t>
      </w:r>
    </w:p>
    <w:p w:rsidR="00F00CF2" w:rsidRPr="00E04A13" w:rsidRDefault="00F00CF2" w:rsidP="00F00CF2">
      <w:pPr>
        <w:pStyle w:val="Heading3"/>
        <w:spacing w:before="360"/>
        <w:rPr>
          <w:lang w:val="en-GB"/>
        </w:rPr>
      </w:pPr>
      <w:bookmarkStart w:id="50" w:name="_Toc251626649"/>
      <w:r w:rsidRPr="00E04A13">
        <w:rPr>
          <w:lang w:val="en-GB"/>
        </w:rPr>
        <w:t>US</w:t>
      </w:r>
      <w:bookmarkEnd w:id="50"/>
    </w:p>
    <w:p w:rsidR="00276958" w:rsidRPr="00E04A13" w:rsidRDefault="00276958" w:rsidP="00276958">
      <w:pPr>
        <w:rPr>
          <w:lang w:val="en-GB"/>
        </w:rPr>
      </w:pPr>
      <w:r w:rsidRPr="00E04A13">
        <w:rPr>
          <w:lang w:val="en-GB"/>
        </w:rPr>
        <w:t xml:space="preserve">The development of Eco-Industries in the USA in the mid-2000s was driven primarily by private business interests in the sub-sectors and State-level (in contrast to federal-level) policies (e.g. renewable energy portfolio standards). Further, the US has extensive fossil fuel resources (oil, coal, and natural gas) and has a nuclear fleet that meets roughly 20% of electricity demand. Approximately coinciding with the years covered by this study (namely 2008/2009 through today), the introduction of hydraulic fracturing and horizontal drilling techniques have increased domestic oil and natural gas production in the US. Two exceptions to this situation in the mid-2000s were the 2005 and 2007 Energy Policy Acts, which created significant demand for </w:t>
      </w:r>
      <w:proofErr w:type="spellStart"/>
      <w:r w:rsidRPr="00E04A13">
        <w:rPr>
          <w:lang w:val="en-GB"/>
        </w:rPr>
        <w:t>biofuels</w:t>
      </w:r>
      <w:proofErr w:type="spellEnd"/>
      <w:r w:rsidRPr="00E04A13">
        <w:rPr>
          <w:lang w:val="en-GB"/>
        </w:rPr>
        <w:t xml:space="preserve"> and alternative fuels. </w:t>
      </w:r>
    </w:p>
    <w:p w:rsidR="00276958" w:rsidRPr="00E04A13" w:rsidRDefault="00276958" w:rsidP="00276958">
      <w:pPr>
        <w:rPr>
          <w:lang w:val="en-GB"/>
        </w:rPr>
      </w:pPr>
      <w:r w:rsidRPr="00E04A13">
        <w:rPr>
          <w:lang w:val="en-GB"/>
        </w:rPr>
        <w:t>With the advent of the Obama Administration, and in part as a reaction to the Great Recession, federal-level public policy has directed additional public and private investment to Eco-Industries in the USA. Pointed investments in renewable energy, transportation, energy efficiency technologies, as well as a variety of other Eco-Industries, were one of the largest recipients of funds under the American Recovery and Reinvestment Act 2009 (the so-called “stimulus” or ARRA). The Act dedicated $90 billion of federal investment in renewables, transportation, etc., which spurred comparable levels of private follow-on investment.</w:t>
      </w:r>
      <w:r w:rsidR="009051E6" w:rsidRPr="00E04A13">
        <w:rPr>
          <w:rStyle w:val="FootnoteReference"/>
          <w:lang w:val="en-GB"/>
        </w:rPr>
        <w:footnoteReference w:id="61"/>
      </w:r>
      <w:r w:rsidRPr="00E04A13">
        <w:rPr>
          <w:lang w:val="en-GB"/>
        </w:rPr>
        <w:t xml:space="preserve">  The ARRA investments, in part, led to the US leading the world in clean energy investment in 2011.</w:t>
      </w:r>
      <w:r w:rsidR="009051E6" w:rsidRPr="00E04A13">
        <w:rPr>
          <w:rStyle w:val="FootnoteReference"/>
          <w:lang w:val="en-GB"/>
        </w:rPr>
        <w:footnoteReference w:id="62"/>
      </w:r>
      <w:r w:rsidRPr="00E04A13">
        <w:rPr>
          <w:lang w:val="en-GB"/>
        </w:rPr>
        <w:t xml:space="preserve"> US had $48 billion in clean energy investment in 2011, but only $35.6 billion in 2012, as the stimulus investments were rolled back. US </w:t>
      </w:r>
      <w:proofErr w:type="gramStart"/>
      <w:r w:rsidRPr="00E04A13">
        <w:rPr>
          <w:lang w:val="en-GB"/>
        </w:rPr>
        <w:t>is</w:t>
      </w:r>
      <w:proofErr w:type="gramEnd"/>
      <w:r w:rsidRPr="00E04A13">
        <w:rPr>
          <w:lang w:val="en-GB"/>
        </w:rPr>
        <w:t xml:space="preserve"> a leader in venture capital investment as well.</w:t>
      </w:r>
      <w:r w:rsidR="009051E6" w:rsidRPr="00E04A13">
        <w:rPr>
          <w:rStyle w:val="FootnoteReference"/>
          <w:lang w:val="en-GB"/>
        </w:rPr>
        <w:footnoteReference w:id="63"/>
      </w:r>
      <w:r w:rsidRPr="00E04A13">
        <w:rPr>
          <w:lang w:val="en-GB"/>
        </w:rPr>
        <w:t xml:space="preserve"> Installed capacity for non-hydro renewable energy doubled between 2009 and 2012. Electricity production from non-hydro renewable energy was 3.7% in 2009 and is predicted to reach 6.1% in 2013.</w:t>
      </w:r>
      <w:r w:rsidR="009051E6" w:rsidRPr="00E04A13">
        <w:rPr>
          <w:rStyle w:val="FootnoteReference"/>
          <w:lang w:val="en-GB"/>
        </w:rPr>
        <w:footnoteReference w:id="64"/>
      </w:r>
      <w:r w:rsidRPr="00E04A13">
        <w:rPr>
          <w:lang w:val="en-GB"/>
        </w:rPr>
        <w:t xml:space="preserve"> Further, the Obama Administration negotiated an agreement with the State of California and auto manufacturers to dramatically improve fuel economy of passenger vehicles and light duty vehicles over the next few decades. By 2025, fleet-wide (excluding heavy-duty trucks) fuel efficiency is to reach 54.4 miles per gallon (163 g per mile), which would more than double fuel efficiency from today’s level.</w:t>
      </w:r>
      <w:r w:rsidR="009051E6" w:rsidRPr="00E04A13">
        <w:rPr>
          <w:rStyle w:val="FootnoteReference"/>
          <w:lang w:val="en-GB"/>
        </w:rPr>
        <w:footnoteReference w:id="65"/>
      </w:r>
      <w:r w:rsidRPr="00E04A13">
        <w:rPr>
          <w:lang w:val="en-GB"/>
        </w:rPr>
        <w:t xml:space="preserve"> </w:t>
      </w:r>
    </w:p>
    <w:p w:rsidR="00276958" w:rsidRPr="00E04A13" w:rsidRDefault="00276958" w:rsidP="00276958">
      <w:pPr>
        <w:rPr>
          <w:lang w:val="en-GB"/>
        </w:rPr>
      </w:pPr>
      <w:r w:rsidRPr="00E04A13">
        <w:rPr>
          <w:lang w:val="en-GB"/>
        </w:rPr>
        <w:t xml:space="preserve">The US lacks widely-accepted definitions of Eco-Industries and jobs in the clean energy sector. The Bureau of </w:t>
      </w:r>
      <w:proofErr w:type="spellStart"/>
      <w:r w:rsidRPr="00E04A13">
        <w:rPr>
          <w:lang w:val="en-GB"/>
        </w:rPr>
        <w:t>Labor</w:t>
      </w:r>
      <w:proofErr w:type="spellEnd"/>
      <w:r w:rsidRPr="00E04A13">
        <w:rPr>
          <w:lang w:val="en-GB"/>
        </w:rPr>
        <w:t xml:space="preserve"> Statistics cites that there were 3.4 million jobs in the clean energy sector in 2011</w:t>
      </w:r>
      <w:r w:rsidR="00B835CF" w:rsidRPr="00E04A13">
        <w:rPr>
          <w:lang w:val="en-GB"/>
        </w:rPr>
        <w:t>; private sector employment made up 2.5 million of those jobs, which were only 2.3% of total employment</w:t>
      </w:r>
      <w:r w:rsidRPr="00E04A13">
        <w:rPr>
          <w:lang w:val="en-GB"/>
        </w:rPr>
        <w:t>.</w:t>
      </w:r>
      <w:r w:rsidR="009051E6" w:rsidRPr="00E04A13">
        <w:rPr>
          <w:rStyle w:val="FootnoteReference"/>
          <w:lang w:val="en-GB"/>
        </w:rPr>
        <w:footnoteReference w:id="66"/>
      </w:r>
      <w:r w:rsidRPr="00E04A13">
        <w:rPr>
          <w:lang w:val="en-GB"/>
        </w:rPr>
        <w:t xml:space="preserve"> </w:t>
      </w:r>
      <w:r w:rsidR="00B835CF" w:rsidRPr="00E04A13">
        <w:rPr>
          <w:lang w:val="en-GB"/>
        </w:rPr>
        <w:t xml:space="preserve">Eco-Industry employment was higher proportionally in manufacturing (4.3% of total jobs), construction (8.9%), utilities (12.9%), and transportation (5.9%). These proportions could partially explain the slightly higher amount of GDP attributable to LCEGS (roughly 3.6%) cited above in Figure 1. </w:t>
      </w:r>
      <w:r w:rsidRPr="00E04A13">
        <w:rPr>
          <w:lang w:val="en-GB"/>
        </w:rPr>
        <w:t xml:space="preserve">A </w:t>
      </w:r>
      <w:r w:rsidR="00B835CF" w:rsidRPr="00E04A13">
        <w:rPr>
          <w:lang w:val="en-GB"/>
        </w:rPr>
        <w:t xml:space="preserve">separate </w:t>
      </w:r>
      <w:r w:rsidRPr="00E04A13">
        <w:rPr>
          <w:lang w:val="en-GB"/>
        </w:rPr>
        <w:t>Brookings Institution report cites 2.7 million jobs in the clean economy.</w:t>
      </w:r>
      <w:r w:rsidR="009051E6" w:rsidRPr="00E04A13">
        <w:rPr>
          <w:rStyle w:val="FootnoteReference"/>
          <w:lang w:val="en-GB"/>
        </w:rPr>
        <w:footnoteReference w:id="67"/>
      </w:r>
      <w:r w:rsidRPr="00E04A13">
        <w:rPr>
          <w:lang w:val="en-GB"/>
        </w:rPr>
        <w:t xml:space="preserve"> The Brookings report was a comprehensive look, down to the county level, of performance in the clean economy from 2003 to 2010. The report found that the clean economy sector grew at a slower annual rate (3.4%) than the economy as a whole (4.2%) from 2003 to 2010. However, declines in performance in established clean economy sectors (housing, etc.) during the Great Recession coincided with robust growth in new clean economy sectors (especially renewables and smart grids).</w:t>
      </w:r>
      <w:r w:rsidR="009051E6" w:rsidRPr="00E04A13">
        <w:rPr>
          <w:rStyle w:val="FootnoteReference"/>
          <w:lang w:val="en-GB"/>
        </w:rPr>
        <w:footnoteReference w:id="68"/>
      </w:r>
      <w:r w:rsidRPr="00E04A13">
        <w:rPr>
          <w:lang w:val="en-GB"/>
        </w:rPr>
        <w:t xml:space="preserve"> </w:t>
      </w:r>
      <w:r w:rsidR="00B835CF" w:rsidRPr="00E04A13">
        <w:rPr>
          <w:lang w:val="en-GB"/>
        </w:rPr>
        <w:t xml:space="preserve">Importantly for a consideration of the role of Eco-Industries terms of overall economic performance, the Brookings study found useful secondary effects from clean economy activity. </w:t>
      </w:r>
      <w:r w:rsidRPr="00E04A13">
        <w:rPr>
          <w:lang w:val="en-GB"/>
        </w:rPr>
        <w:t xml:space="preserve">The clean economy in the US was found to entail </w:t>
      </w:r>
      <w:r w:rsidR="00B835CF" w:rsidRPr="00E04A13">
        <w:rPr>
          <w:lang w:val="en-GB"/>
        </w:rPr>
        <w:t xml:space="preserve">a larger share of </w:t>
      </w:r>
      <w:r w:rsidRPr="00E04A13">
        <w:rPr>
          <w:lang w:val="en-GB"/>
        </w:rPr>
        <w:t xml:space="preserve">manufacturing </w:t>
      </w:r>
      <w:r w:rsidR="00B835CF" w:rsidRPr="00E04A13">
        <w:rPr>
          <w:lang w:val="en-GB"/>
        </w:rPr>
        <w:t xml:space="preserve">activity </w:t>
      </w:r>
      <w:r w:rsidRPr="00E04A13">
        <w:rPr>
          <w:lang w:val="en-GB"/>
        </w:rPr>
        <w:t xml:space="preserve">than the economy as a whole and </w:t>
      </w:r>
      <w:r w:rsidR="00B835CF" w:rsidRPr="00E04A13">
        <w:rPr>
          <w:lang w:val="en-GB"/>
        </w:rPr>
        <w:t xml:space="preserve">it </w:t>
      </w:r>
      <w:r w:rsidRPr="00E04A13">
        <w:rPr>
          <w:lang w:val="en-GB"/>
        </w:rPr>
        <w:t>export</w:t>
      </w:r>
      <w:r w:rsidR="00B835CF" w:rsidRPr="00E04A13">
        <w:rPr>
          <w:lang w:val="en-GB"/>
        </w:rPr>
        <w:t>ed</w:t>
      </w:r>
      <w:r w:rsidRPr="00E04A13">
        <w:rPr>
          <w:lang w:val="en-GB"/>
        </w:rPr>
        <w:t xml:space="preserve"> twice the value per job, on average, than the standard US job.</w:t>
      </w:r>
      <w:r w:rsidR="009051E6" w:rsidRPr="00E04A13">
        <w:rPr>
          <w:rStyle w:val="FootnoteReference"/>
          <w:lang w:val="en-GB"/>
        </w:rPr>
        <w:footnoteReference w:id="69"/>
      </w:r>
      <w:r w:rsidR="00B835CF" w:rsidRPr="00E04A13">
        <w:rPr>
          <w:lang w:val="en-GB"/>
        </w:rPr>
        <w:t xml:space="preserve"> When considering the EU’s industry target of 20% of GDP by 2020, carving out additional space for Eco-Industries under that target could have positive implications for trade and value-added production.</w:t>
      </w:r>
    </w:p>
    <w:p w:rsidR="00276958" w:rsidRPr="00E04A13" w:rsidRDefault="00276958" w:rsidP="00276958">
      <w:pPr>
        <w:numPr>
          <w:ilvl w:val="0"/>
          <w:numId w:val="23"/>
        </w:numPr>
        <w:spacing w:before="0" w:after="200"/>
        <w:jc w:val="left"/>
        <w:rPr>
          <w:lang w:val="en-GB"/>
        </w:rPr>
      </w:pPr>
      <w:r w:rsidRPr="00E04A13">
        <w:rPr>
          <w:lang w:val="en-GB"/>
        </w:rPr>
        <w:t>The US remains a world-leader in overall R&amp;D investment. It was responsible for 37.8% of global R&amp;D spending in 2010, 36.9% in 2011, and 36.0% in 2012.</w:t>
      </w:r>
      <w:r w:rsidR="009051E6" w:rsidRPr="00E04A13">
        <w:rPr>
          <w:rStyle w:val="FootnoteReference"/>
          <w:lang w:val="en-GB"/>
        </w:rPr>
        <w:footnoteReference w:id="70"/>
      </w:r>
      <w:r w:rsidRPr="00E04A13">
        <w:rPr>
          <w:lang w:val="en-GB"/>
        </w:rPr>
        <w:t xml:space="preserve"> In energy patents, the US was second only to Japan in energy patents overall, and in terms of patents in four key clean energy categories (solar, wind, geothermal, and fuel cells), the US patent rate, adjusting for country size, is relatively strong in fuel cells and the expected rate for the others.</w:t>
      </w:r>
      <w:r w:rsidR="009051E6" w:rsidRPr="00E04A13">
        <w:rPr>
          <w:rStyle w:val="FootnoteReference"/>
          <w:lang w:val="en-GB"/>
        </w:rPr>
        <w:footnoteReference w:id="71"/>
      </w:r>
    </w:p>
    <w:p w:rsidR="00276958" w:rsidRPr="00E04A13" w:rsidRDefault="00276958" w:rsidP="00276958">
      <w:pPr>
        <w:numPr>
          <w:ilvl w:val="0"/>
          <w:numId w:val="23"/>
        </w:numPr>
        <w:spacing w:before="0" w:after="200"/>
        <w:jc w:val="left"/>
        <w:rPr>
          <w:lang w:val="en-GB"/>
        </w:rPr>
      </w:pPr>
      <w:r w:rsidRPr="00E04A13">
        <w:rPr>
          <w:lang w:val="en-GB"/>
        </w:rPr>
        <w:t xml:space="preserve">While the US will not likely meet its nominal goal of 1 million electric vehicles sold by 2015, several plug-in hybrid and full electric vehicles are available. GM offers the Chevrolet Volt, which was developed and launched during the Great Recession, and the US also is home to Tesla Motors, an all electric vehicles company that did not exist in the mid-2000s. Its Model S sells well in the US and internationally. Tesla is also developing its own charging infrastructure. </w:t>
      </w:r>
    </w:p>
    <w:p w:rsidR="005256BE" w:rsidRPr="00E04A13" w:rsidRDefault="005256BE" w:rsidP="00276958">
      <w:pPr>
        <w:numPr>
          <w:ilvl w:val="0"/>
          <w:numId w:val="23"/>
        </w:numPr>
        <w:spacing w:before="0" w:after="200"/>
        <w:jc w:val="left"/>
        <w:rPr>
          <w:lang w:val="en-GB"/>
        </w:rPr>
      </w:pPr>
      <w:r w:rsidRPr="00E04A13">
        <w:rPr>
          <w:lang w:val="en-GB"/>
        </w:rPr>
        <w:t xml:space="preserve">The US is the global leader in bio-power and geothermal power capacity, as well as geothermal heat capacity. It is second globally in total renewable and total non-hydro-renewable capacity, third in hydropower, second in concentrated solar thermal power, third in solar </w:t>
      </w:r>
      <w:proofErr w:type="spellStart"/>
      <w:proofErr w:type="gramStart"/>
      <w:r w:rsidRPr="00E04A13">
        <w:rPr>
          <w:lang w:val="en-GB"/>
        </w:rPr>
        <w:t>pv</w:t>
      </w:r>
      <w:proofErr w:type="spellEnd"/>
      <w:proofErr w:type="gramEnd"/>
      <w:r w:rsidRPr="00E04A13">
        <w:rPr>
          <w:lang w:val="en-GB"/>
        </w:rPr>
        <w:t xml:space="preserve"> capacity, second in wind power capacity, and second in geothermal direct heat use. It also leads the world in biodiesel and ethanol production.</w:t>
      </w:r>
      <w:r w:rsidR="009051E6" w:rsidRPr="00E04A13">
        <w:rPr>
          <w:rStyle w:val="FootnoteReference"/>
          <w:lang w:val="en-GB"/>
        </w:rPr>
        <w:footnoteReference w:id="72"/>
      </w:r>
    </w:p>
    <w:p w:rsidR="00276958" w:rsidRPr="00E04A13" w:rsidRDefault="00276958" w:rsidP="00276958">
      <w:pPr>
        <w:numPr>
          <w:ilvl w:val="0"/>
          <w:numId w:val="23"/>
        </w:numPr>
        <w:spacing w:before="0" w:after="200"/>
        <w:jc w:val="left"/>
        <w:rPr>
          <w:lang w:val="en-GB"/>
        </w:rPr>
      </w:pPr>
      <w:r w:rsidRPr="00E04A13">
        <w:rPr>
          <w:lang w:val="en-GB"/>
        </w:rPr>
        <w:t>The US has a number of companies working on advanced battery technology, including one of the world leaders – Johnson Controls.</w:t>
      </w:r>
      <w:r w:rsidR="009051E6" w:rsidRPr="00E04A13">
        <w:rPr>
          <w:rStyle w:val="FootnoteReference"/>
          <w:lang w:val="en-GB"/>
        </w:rPr>
        <w:footnoteReference w:id="73"/>
      </w:r>
    </w:p>
    <w:p w:rsidR="00F00CF2" w:rsidRDefault="00276958" w:rsidP="00F00CF2">
      <w:pPr>
        <w:rPr>
          <w:lang w:val="en-GB"/>
        </w:rPr>
      </w:pPr>
      <w:r w:rsidRPr="00E04A13">
        <w:rPr>
          <w:lang w:val="en-GB"/>
        </w:rPr>
        <w:t xml:space="preserve">Despite positive trends, global leadership in several areas, and robust R&amp;D spending, the overarching political situation portends to be a brake on full-throttle US engagement in Eco-Industries. The ARRA was a time-limited investment that has not been renewed or followed with comprehensive policies or planning. As a </w:t>
      </w:r>
      <w:proofErr w:type="spellStart"/>
      <w:r w:rsidRPr="00E04A13">
        <w:rPr>
          <w:lang w:val="en-GB"/>
        </w:rPr>
        <w:t>Center</w:t>
      </w:r>
      <w:proofErr w:type="spellEnd"/>
      <w:r w:rsidRPr="00E04A13">
        <w:rPr>
          <w:lang w:val="en-GB"/>
        </w:rPr>
        <w:t xml:space="preserve"> for American Progress report put it “the current Congress seems especially hostile to any transformation of our energy system toward lower-carbon alternatives.”</w:t>
      </w:r>
      <w:r w:rsidR="009051E6" w:rsidRPr="00E04A13">
        <w:rPr>
          <w:rStyle w:val="FootnoteReference"/>
          <w:lang w:val="en-GB"/>
        </w:rPr>
        <w:footnoteReference w:id="74"/>
      </w:r>
      <w:r w:rsidRPr="00E04A13">
        <w:rPr>
          <w:lang w:val="en-GB"/>
        </w:rPr>
        <w:t xml:space="preserve"> For example, budget cuts forced the Bureau of </w:t>
      </w:r>
      <w:proofErr w:type="spellStart"/>
      <w:r w:rsidRPr="00E04A13">
        <w:rPr>
          <w:lang w:val="en-GB"/>
        </w:rPr>
        <w:t>Labor</w:t>
      </w:r>
      <w:proofErr w:type="spellEnd"/>
      <w:r w:rsidRPr="00E04A13">
        <w:rPr>
          <w:lang w:val="en-GB"/>
        </w:rPr>
        <w:t xml:space="preserve"> Statistics to stop tracking the clean economy after doing so for a few years after developing a methodology under ARRA. The President’s Climate Action Plan should help stimulate some investment, especially if the regulations for new and existing power plants are robust. However, the States have a significant role to play too, and interest in the clean economy at the State level is uneven with high interest in California and other states and little in others. Private investment and interest in the clean economy remains robust, but that is driven also by policies in other countries and has also fallen off from highs in previous years. Lastly, the marked expansion of oil and gas production through hydraulic fracturing has shifted national attention from the clean economy; without policy drivers, this situation is unlikely to change in the coming years.</w:t>
      </w:r>
    </w:p>
    <w:p w:rsidR="002B5D5E" w:rsidRDefault="002B5D5E" w:rsidP="002B5D5E">
      <w:pPr>
        <w:rPr>
          <w:lang w:val="en-GB"/>
        </w:rPr>
      </w:pPr>
      <w:r>
        <w:rPr>
          <w:lang w:val="en-GB"/>
        </w:rPr>
        <w:fldChar w:fldCharType="begin"/>
      </w:r>
      <w:r>
        <w:rPr>
          <w:lang w:val="en-GB"/>
        </w:rPr>
        <w:instrText xml:space="preserve"> REF _Ref377651076 \h </w:instrText>
      </w:r>
      <w:r w:rsidRPr="00FB4667">
        <w:rPr>
          <w:lang w:val="en-GB"/>
        </w:rPr>
      </w:r>
      <w:r>
        <w:rPr>
          <w:lang w:val="en-GB"/>
        </w:rPr>
        <w:fldChar w:fldCharType="separate"/>
      </w:r>
      <w:r w:rsidR="00503F5D" w:rsidRPr="00A311A2">
        <w:rPr>
          <w:lang w:val="en-GB"/>
        </w:rPr>
        <w:t xml:space="preserve">Table </w:t>
      </w:r>
      <w:r w:rsidR="00503F5D">
        <w:rPr>
          <w:noProof/>
          <w:lang w:val="en-GB"/>
        </w:rPr>
        <w:t>14</w:t>
      </w:r>
      <w:r>
        <w:rPr>
          <w:lang w:val="en-GB"/>
        </w:rPr>
        <w:fldChar w:fldCharType="end"/>
      </w:r>
      <w:r>
        <w:rPr>
          <w:lang w:val="en-GB"/>
        </w:rPr>
        <w:t xml:space="preserve"> below charts the performance of the US LCEGS sector and GDP through the recessions. </w:t>
      </w:r>
      <w:r w:rsidRPr="007B247E">
        <w:rPr>
          <w:lang w:val="en-GB"/>
        </w:rPr>
        <w:t xml:space="preserve">The </w:t>
      </w:r>
      <w:r>
        <w:rPr>
          <w:lang w:val="en-GB"/>
        </w:rPr>
        <w:t>American economy</w:t>
      </w:r>
      <w:r w:rsidRPr="007B247E">
        <w:rPr>
          <w:lang w:val="en-GB"/>
        </w:rPr>
        <w:t xml:space="preserve"> show</w:t>
      </w:r>
      <w:r>
        <w:rPr>
          <w:lang w:val="en-GB"/>
        </w:rPr>
        <w:t>s</w:t>
      </w:r>
      <w:r w:rsidRPr="007B247E">
        <w:rPr>
          <w:lang w:val="en-GB"/>
        </w:rPr>
        <w:t xml:space="preserve"> </w:t>
      </w:r>
      <w:r>
        <w:rPr>
          <w:lang w:val="en-GB"/>
        </w:rPr>
        <w:t>comparatively smaller</w:t>
      </w:r>
      <w:r w:rsidRPr="007B247E">
        <w:rPr>
          <w:lang w:val="en-GB"/>
        </w:rPr>
        <w:t xml:space="preserve"> annual growth </w:t>
      </w:r>
      <w:r>
        <w:rPr>
          <w:lang w:val="en-GB"/>
        </w:rPr>
        <w:t xml:space="preserve">in LCEGS, thanks to its </w:t>
      </w:r>
      <w:r w:rsidRPr="007B247E">
        <w:rPr>
          <w:lang w:val="en-GB"/>
        </w:rPr>
        <w:t>higher economic base</w:t>
      </w:r>
      <w:r>
        <w:rPr>
          <w:lang w:val="en-GB"/>
        </w:rPr>
        <w:t xml:space="preserve"> and the aforementioned factors.</w:t>
      </w:r>
    </w:p>
    <w:tbl>
      <w:tblPr>
        <w:tblStyle w:val="TableGrid"/>
        <w:tblW w:w="0" w:type="auto"/>
        <w:tblLook w:val="00BF"/>
      </w:tblPr>
      <w:tblGrid>
        <w:gridCol w:w="1548"/>
        <w:gridCol w:w="1548"/>
        <w:gridCol w:w="1548"/>
        <w:gridCol w:w="1548"/>
        <w:gridCol w:w="1548"/>
        <w:gridCol w:w="1548"/>
      </w:tblGrid>
      <w:tr w:rsidR="002B5D5E">
        <w:tc>
          <w:tcPr>
            <w:tcW w:w="1548" w:type="dxa"/>
          </w:tcPr>
          <w:p w:rsidR="002B5D5E" w:rsidRDefault="002B5D5E" w:rsidP="002B5D5E">
            <w:pPr>
              <w:rPr>
                <w:lang w:val="en-GB"/>
              </w:rPr>
            </w:pPr>
          </w:p>
        </w:tc>
        <w:tc>
          <w:tcPr>
            <w:tcW w:w="1548" w:type="dxa"/>
          </w:tcPr>
          <w:p w:rsidR="002B5D5E" w:rsidRDefault="002B5D5E" w:rsidP="002B5D5E">
            <w:pPr>
              <w:rPr>
                <w:lang w:val="en-GB"/>
              </w:rPr>
            </w:pPr>
            <w:r w:rsidRPr="00A311A2">
              <w:rPr>
                <w:lang w:val="en-GB"/>
              </w:rPr>
              <w:t>2008</w:t>
            </w:r>
          </w:p>
        </w:tc>
        <w:tc>
          <w:tcPr>
            <w:tcW w:w="1548" w:type="dxa"/>
          </w:tcPr>
          <w:p w:rsidR="002B5D5E" w:rsidRDefault="002B5D5E" w:rsidP="002B5D5E">
            <w:pPr>
              <w:rPr>
                <w:lang w:val="en-GB"/>
              </w:rPr>
            </w:pPr>
            <w:r w:rsidRPr="00A311A2">
              <w:rPr>
                <w:lang w:val="en-GB"/>
              </w:rPr>
              <w:t>2009</w:t>
            </w:r>
          </w:p>
        </w:tc>
        <w:tc>
          <w:tcPr>
            <w:tcW w:w="1548" w:type="dxa"/>
          </w:tcPr>
          <w:p w:rsidR="002B5D5E" w:rsidRDefault="002B5D5E" w:rsidP="002B5D5E">
            <w:pPr>
              <w:rPr>
                <w:lang w:val="en-GB"/>
              </w:rPr>
            </w:pPr>
            <w:r w:rsidRPr="00A311A2">
              <w:rPr>
                <w:lang w:val="en-GB"/>
              </w:rPr>
              <w:t>2010</w:t>
            </w:r>
          </w:p>
        </w:tc>
        <w:tc>
          <w:tcPr>
            <w:tcW w:w="1548" w:type="dxa"/>
          </w:tcPr>
          <w:p w:rsidR="002B5D5E" w:rsidRDefault="002B5D5E" w:rsidP="002B5D5E">
            <w:pPr>
              <w:rPr>
                <w:lang w:val="en-GB"/>
              </w:rPr>
            </w:pPr>
            <w:r w:rsidRPr="00A311A2">
              <w:rPr>
                <w:lang w:val="en-GB"/>
              </w:rPr>
              <w:t>2011</w:t>
            </w:r>
          </w:p>
        </w:tc>
        <w:tc>
          <w:tcPr>
            <w:tcW w:w="1548" w:type="dxa"/>
          </w:tcPr>
          <w:p w:rsidR="002B5D5E" w:rsidRDefault="00503F5D" w:rsidP="002B5D5E">
            <w:pPr>
              <w:rPr>
                <w:lang w:val="en-GB"/>
              </w:rPr>
            </w:pPr>
            <w:r>
              <w:rPr>
                <w:lang w:val="en-GB"/>
              </w:rPr>
              <w:t>2008</w:t>
            </w:r>
            <w:r w:rsidR="002B5D5E" w:rsidRPr="00A311A2">
              <w:rPr>
                <w:lang w:val="en-GB"/>
              </w:rPr>
              <w:t>-2011</w:t>
            </w:r>
          </w:p>
        </w:tc>
      </w:tr>
      <w:tr w:rsidR="002B5D5E">
        <w:tc>
          <w:tcPr>
            <w:tcW w:w="1548" w:type="dxa"/>
          </w:tcPr>
          <w:p w:rsidR="002B5D5E" w:rsidRDefault="002B5D5E" w:rsidP="002B5D5E">
            <w:pPr>
              <w:rPr>
                <w:lang w:val="en-GB"/>
              </w:rPr>
            </w:pPr>
            <w:r w:rsidRPr="00A311A2">
              <w:rPr>
                <w:b/>
                <w:lang w:val="en-GB"/>
              </w:rPr>
              <w:t>LCEGS</w:t>
            </w:r>
          </w:p>
        </w:tc>
        <w:tc>
          <w:tcPr>
            <w:tcW w:w="1548" w:type="dxa"/>
            <w:vAlign w:val="bottom"/>
          </w:tcPr>
          <w:p w:rsidR="002B5D5E" w:rsidRDefault="002B5D5E" w:rsidP="002B5D5E">
            <w:pPr>
              <w:rPr>
                <w:lang w:val="en-GB"/>
              </w:rPr>
            </w:pPr>
            <w:r w:rsidRPr="00A311A2">
              <w:rPr>
                <w:rFonts w:eastAsia="Times New Roman" w:cs="Arial"/>
                <w:sz w:val="20"/>
                <w:szCs w:val="20"/>
                <w:lang w:val="en-GB"/>
              </w:rPr>
              <w:t>0.8%</w:t>
            </w:r>
          </w:p>
        </w:tc>
        <w:tc>
          <w:tcPr>
            <w:tcW w:w="1548" w:type="dxa"/>
            <w:vAlign w:val="bottom"/>
          </w:tcPr>
          <w:p w:rsidR="002B5D5E" w:rsidRDefault="002B5D5E" w:rsidP="002B5D5E">
            <w:pPr>
              <w:rPr>
                <w:lang w:val="en-GB"/>
              </w:rPr>
            </w:pPr>
            <w:r w:rsidRPr="00A311A2">
              <w:rPr>
                <w:rFonts w:eastAsia="Times New Roman" w:cs="Arial"/>
                <w:sz w:val="20"/>
                <w:szCs w:val="20"/>
                <w:lang w:val="en-GB"/>
              </w:rPr>
              <w:t>-0.5%</w:t>
            </w:r>
          </w:p>
        </w:tc>
        <w:tc>
          <w:tcPr>
            <w:tcW w:w="1548" w:type="dxa"/>
            <w:vAlign w:val="bottom"/>
          </w:tcPr>
          <w:p w:rsidR="002B5D5E" w:rsidRDefault="002B5D5E" w:rsidP="002B5D5E">
            <w:pPr>
              <w:rPr>
                <w:lang w:val="en-GB"/>
              </w:rPr>
            </w:pPr>
            <w:r w:rsidRPr="00A311A2">
              <w:rPr>
                <w:rFonts w:eastAsia="Times New Roman" w:cs="Arial"/>
                <w:sz w:val="20"/>
                <w:szCs w:val="20"/>
                <w:lang w:val="en-GB"/>
              </w:rPr>
              <w:t>2.5%</w:t>
            </w:r>
          </w:p>
        </w:tc>
        <w:tc>
          <w:tcPr>
            <w:tcW w:w="1548" w:type="dxa"/>
            <w:vAlign w:val="bottom"/>
          </w:tcPr>
          <w:p w:rsidR="002B5D5E" w:rsidRDefault="002B5D5E" w:rsidP="002B5D5E">
            <w:pPr>
              <w:rPr>
                <w:lang w:val="en-GB"/>
              </w:rPr>
            </w:pPr>
            <w:r w:rsidRPr="00A311A2">
              <w:rPr>
                <w:rFonts w:eastAsia="Times New Roman" w:cs="Arial"/>
                <w:sz w:val="20"/>
                <w:szCs w:val="20"/>
                <w:lang w:val="en-GB"/>
              </w:rPr>
              <w:t>2.5%</w:t>
            </w:r>
          </w:p>
        </w:tc>
        <w:tc>
          <w:tcPr>
            <w:tcW w:w="1548" w:type="dxa"/>
          </w:tcPr>
          <w:p w:rsidR="002B5D5E" w:rsidRDefault="002B5D5E" w:rsidP="002B5D5E">
            <w:pPr>
              <w:rPr>
                <w:lang w:val="en-GB"/>
              </w:rPr>
            </w:pPr>
            <w:r w:rsidRPr="00A311A2">
              <w:rPr>
                <w:rFonts w:eastAsia="Times New Roman" w:cs="Arial"/>
                <w:sz w:val="20"/>
                <w:szCs w:val="20"/>
                <w:lang w:val="en-GB"/>
              </w:rPr>
              <w:t>3.8%</w:t>
            </w:r>
          </w:p>
        </w:tc>
      </w:tr>
      <w:tr w:rsidR="002B5D5E">
        <w:tc>
          <w:tcPr>
            <w:tcW w:w="1548" w:type="dxa"/>
          </w:tcPr>
          <w:p w:rsidR="002B5D5E" w:rsidRDefault="002B5D5E" w:rsidP="002B5D5E">
            <w:pPr>
              <w:rPr>
                <w:lang w:val="en-GB"/>
              </w:rPr>
            </w:pPr>
            <w:r w:rsidRPr="00A311A2">
              <w:rPr>
                <w:b/>
                <w:lang w:val="en-GB"/>
              </w:rPr>
              <w:t>GDP</w:t>
            </w:r>
          </w:p>
        </w:tc>
        <w:tc>
          <w:tcPr>
            <w:tcW w:w="1548" w:type="dxa"/>
          </w:tcPr>
          <w:p w:rsidR="002B5D5E" w:rsidRDefault="002B5D5E" w:rsidP="002B5D5E">
            <w:pPr>
              <w:rPr>
                <w:lang w:val="en-GB"/>
              </w:rPr>
            </w:pPr>
            <w:r w:rsidRPr="00A311A2">
              <w:rPr>
                <w:rFonts w:eastAsia="Times New Roman" w:cs="Arial"/>
                <w:sz w:val="20"/>
                <w:szCs w:val="20"/>
                <w:lang w:val="en-GB"/>
              </w:rPr>
              <w:t>1.7%</w:t>
            </w:r>
          </w:p>
        </w:tc>
        <w:tc>
          <w:tcPr>
            <w:tcW w:w="1548" w:type="dxa"/>
          </w:tcPr>
          <w:p w:rsidR="002B5D5E" w:rsidRDefault="002B5D5E" w:rsidP="002B5D5E">
            <w:pPr>
              <w:rPr>
                <w:lang w:val="en-GB"/>
              </w:rPr>
            </w:pPr>
            <w:r w:rsidRPr="00A311A2">
              <w:rPr>
                <w:rFonts w:eastAsia="Times New Roman" w:cs="Arial"/>
                <w:sz w:val="20"/>
                <w:szCs w:val="20"/>
                <w:lang w:val="en-GB"/>
              </w:rPr>
              <w:t>-2.1%</w:t>
            </w:r>
          </w:p>
        </w:tc>
        <w:tc>
          <w:tcPr>
            <w:tcW w:w="1548" w:type="dxa"/>
          </w:tcPr>
          <w:p w:rsidR="002B5D5E" w:rsidRDefault="002B5D5E" w:rsidP="002B5D5E">
            <w:pPr>
              <w:rPr>
                <w:lang w:val="en-GB"/>
              </w:rPr>
            </w:pPr>
            <w:r w:rsidRPr="00A311A2">
              <w:rPr>
                <w:rFonts w:eastAsia="Times New Roman" w:cs="Arial"/>
                <w:sz w:val="20"/>
                <w:szCs w:val="20"/>
                <w:lang w:val="en-GB"/>
              </w:rPr>
              <w:t>3.7%</w:t>
            </w:r>
          </w:p>
        </w:tc>
        <w:tc>
          <w:tcPr>
            <w:tcW w:w="1548" w:type="dxa"/>
          </w:tcPr>
          <w:p w:rsidR="002B5D5E" w:rsidRDefault="002B5D5E" w:rsidP="002B5D5E">
            <w:pPr>
              <w:rPr>
                <w:lang w:val="en-GB"/>
              </w:rPr>
            </w:pPr>
            <w:r w:rsidRPr="00A311A2">
              <w:rPr>
                <w:lang w:val="en-GB"/>
              </w:rPr>
              <w:t>5.3%</w:t>
            </w:r>
          </w:p>
        </w:tc>
        <w:tc>
          <w:tcPr>
            <w:tcW w:w="1548" w:type="dxa"/>
          </w:tcPr>
          <w:p w:rsidR="002B5D5E" w:rsidRDefault="002B5D5E" w:rsidP="002B5D5E">
            <w:pPr>
              <w:rPr>
                <w:lang w:val="en-GB"/>
              </w:rPr>
            </w:pPr>
            <w:r w:rsidRPr="00A311A2">
              <w:rPr>
                <w:lang w:val="en-GB"/>
              </w:rPr>
              <w:t>7.3%</w:t>
            </w:r>
          </w:p>
        </w:tc>
      </w:tr>
    </w:tbl>
    <w:p w:rsidR="002B5D5E" w:rsidRPr="00A311A2" w:rsidRDefault="002B5D5E" w:rsidP="002B5D5E">
      <w:pPr>
        <w:pStyle w:val="Caption"/>
        <w:rPr>
          <w:lang w:val="en-GB"/>
        </w:rPr>
      </w:pPr>
      <w:bookmarkStart w:id="51" w:name="_Ref377651076"/>
      <w:bookmarkStart w:id="52" w:name="_Toc252202033"/>
      <w:r w:rsidRPr="00A311A2">
        <w:rPr>
          <w:lang w:val="en-GB"/>
        </w:rPr>
        <w:t xml:space="preserve">Table </w:t>
      </w:r>
      <w:r w:rsidRPr="00A311A2">
        <w:rPr>
          <w:lang w:val="en-GB"/>
        </w:rPr>
        <w:fldChar w:fldCharType="begin"/>
      </w:r>
      <w:r w:rsidRPr="00A311A2">
        <w:rPr>
          <w:lang w:val="en-GB"/>
        </w:rPr>
        <w:instrText xml:space="preserve"> SEQ Table \* ARABIC </w:instrText>
      </w:r>
      <w:r w:rsidRPr="00A311A2">
        <w:rPr>
          <w:lang w:val="en-GB"/>
        </w:rPr>
        <w:fldChar w:fldCharType="separate"/>
      </w:r>
      <w:r w:rsidR="00503F5D">
        <w:rPr>
          <w:noProof/>
          <w:lang w:val="en-GB"/>
        </w:rPr>
        <w:t>14</w:t>
      </w:r>
      <w:r w:rsidRPr="00A311A2">
        <w:rPr>
          <w:lang w:val="en-GB"/>
        </w:rPr>
        <w:fldChar w:fldCharType="end"/>
      </w:r>
      <w:bookmarkEnd w:id="51"/>
      <w:r w:rsidRPr="00A311A2">
        <w:rPr>
          <w:lang w:val="en-GB"/>
        </w:rPr>
        <w:t xml:space="preserve">: </w:t>
      </w:r>
      <w:r w:rsidR="00503F5D">
        <w:rPr>
          <w:lang w:val="en-GB"/>
        </w:rPr>
        <w:t>Nominal g</w:t>
      </w:r>
      <w:r w:rsidRPr="00A311A2">
        <w:rPr>
          <w:lang w:val="en-GB"/>
        </w:rPr>
        <w:t>rowth rates in LCEGS and GDP for US, 200</w:t>
      </w:r>
      <w:r w:rsidR="00503F5D">
        <w:rPr>
          <w:lang w:val="en-GB"/>
        </w:rPr>
        <w:t>8</w:t>
      </w:r>
      <w:r w:rsidRPr="00A311A2">
        <w:rPr>
          <w:lang w:val="en-GB"/>
        </w:rPr>
        <w:t>-2011</w:t>
      </w:r>
      <w:bookmarkEnd w:id="52"/>
    </w:p>
    <w:p w:rsidR="002B5D5E" w:rsidRPr="00E04A13" w:rsidRDefault="002B5D5E" w:rsidP="00F00CF2">
      <w:pPr>
        <w:rPr>
          <w:lang w:val="en-GB"/>
        </w:rPr>
      </w:pPr>
    </w:p>
    <w:p w:rsidR="005B361E" w:rsidRPr="00E04A13" w:rsidRDefault="00435CED" w:rsidP="00802929">
      <w:pPr>
        <w:pStyle w:val="Heading1"/>
        <w:spacing w:before="480"/>
        <w:rPr>
          <w:lang w:val="en-GB"/>
        </w:rPr>
      </w:pPr>
      <w:bookmarkStart w:id="53" w:name="_Toc251626650"/>
      <w:r w:rsidRPr="00E04A13">
        <w:rPr>
          <w:lang w:val="en-GB"/>
        </w:rPr>
        <w:t xml:space="preserve">Conclusions and </w:t>
      </w:r>
      <w:r w:rsidR="005F4A30">
        <w:rPr>
          <w:lang w:val="en-GB"/>
        </w:rPr>
        <w:t>r</w:t>
      </w:r>
      <w:r w:rsidRPr="00E04A13">
        <w:rPr>
          <w:lang w:val="en-GB"/>
        </w:rPr>
        <w:t>ecommendations</w:t>
      </w:r>
      <w:bookmarkEnd w:id="53"/>
      <w:r w:rsidRPr="00E04A13">
        <w:rPr>
          <w:lang w:val="en-GB"/>
        </w:rPr>
        <w:t xml:space="preserve"> </w:t>
      </w:r>
    </w:p>
    <w:p w:rsidR="00B665E0" w:rsidRPr="00E04A13" w:rsidRDefault="0059035E" w:rsidP="0027518A">
      <w:pPr>
        <w:rPr>
          <w:lang w:val="en-GB"/>
        </w:rPr>
      </w:pPr>
      <w:r w:rsidRPr="0059035E">
        <w:rPr>
          <w:lang w:val="en-GB"/>
        </w:rPr>
        <w:t xml:space="preserve">Eco-Industries are the focus of industrial policy and policy promotion across the eight countries reviewed in this study. The means and extent of promotion differs between them, and predictably the role and size of Eco-Industries differ as well. In addition to policy differences, the size of Eco-Industries in each country and recent growth is a function both of policy promotion and the particular stage of economic development in each country. While China, Germany, the UK, the US, and Italy have more robust traditional Eco-Industry sectors and their recent growth is primarily in emerging Eco-Industry technologies (e.g. renewables), growth in Eco-Industries in Poland and Mexico, for example, is still weighted toward more established Eco-Industries (like water management). Portugal is somewhere between these two groups. </w:t>
      </w:r>
    </w:p>
    <w:p w:rsidR="00B665E0" w:rsidRPr="00E04A13" w:rsidRDefault="0059035E" w:rsidP="0027518A">
      <w:pPr>
        <w:rPr>
          <w:lang w:val="en-GB"/>
        </w:rPr>
      </w:pPr>
      <w:r w:rsidRPr="0059035E">
        <w:rPr>
          <w:lang w:val="en-GB"/>
        </w:rPr>
        <w:t xml:space="preserve">Despite these differences, our study confirms that Eco-Industries make up comparable shares of total economic activity. Further, emerging Eco-Industries are in fields exhibiting high levels of R&amp;D and patenting behaviour, which </w:t>
      </w:r>
      <w:r w:rsidR="005F4A30">
        <w:rPr>
          <w:lang w:val="en-GB"/>
        </w:rPr>
        <w:t>can serve as an indication that Eco-Industries are among the more innovative sectors of the economy</w:t>
      </w:r>
      <w:r w:rsidRPr="0059035E">
        <w:rPr>
          <w:lang w:val="en-GB"/>
        </w:rPr>
        <w:t xml:space="preserve">. </w:t>
      </w:r>
      <w:r w:rsidR="005F4A30">
        <w:rPr>
          <w:lang w:val="en-GB"/>
        </w:rPr>
        <w:t>As m</w:t>
      </w:r>
      <w:r w:rsidRPr="0059035E">
        <w:rPr>
          <w:lang w:val="en-GB"/>
        </w:rPr>
        <w:t xml:space="preserve">any countries </w:t>
      </w:r>
      <w:r w:rsidR="005F4A30">
        <w:rPr>
          <w:lang w:val="en-GB"/>
        </w:rPr>
        <w:t xml:space="preserve">explore </w:t>
      </w:r>
      <w:r w:rsidRPr="0059035E">
        <w:rPr>
          <w:lang w:val="en-GB"/>
        </w:rPr>
        <w:t>options for promoting new and emerging industries with high innovation and value-added potential</w:t>
      </w:r>
      <w:proofErr w:type="gramStart"/>
      <w:r w:rsidRPr="0059035E">
        <w:rPr>
          <w:lang w:val="en-GB"/>
        </w:rPr>
        <w:t>;</w:t>
      </w:r>
      <w:proofErr w:type="gramEnd"/>
      <w:r w:rsidRPr="0059035E">
        <w:rPr>
          <w:lang w:val="en-GB"/>
        </w:rPr>
        <w:t xml:space="preserve"> Eco-Industries are a natural area of attention. </w:t>
      </w:r>
    </w:p>
    <w:p w:rsidR="005F4A30" w:rsidRDefault="005F4A30" w:rsidP="0027518A">
      <w:pPr>
        <w:rPr>
          <w:lang w:val="en-GB"/>
        </w:rPr>
      </w:pPr>
      <w:r>
        <w:rPr>
          <w:lang w:val="en-GB"/>
        </w:rPr>
        <w:t xml:space="preserve">Eco-Industries have provided some stability and </w:t>
      </w:r>
      <w:r w:rsidR="00957970">
        <w:rPr>
          <w:lang w:val="en-GB"/>
        </w:rPr>
        <w:t xml:space="preserve">delivered impetus for </w:t>
      </w:r>
      <w:r>
        <w:rPr>
          <w:lang w:val="en-GB"/>
        </w:rPr>
        <w:t xml:space="preserve">growth </w:t>
      </w:r>
      <w:r w:rsidR="00957970">
        <w:rPr>
          <w:lang w:val="en-GB"/>
        </w:rPr>
        <w:t xml:space="preserve">during turbulent economic times in all of Europe. </w:t>
      </w:r>
      <w:r>
        <w:rPr>
          <w:lang w:val="en-GB"/>
        </w:rPr>
        <w:t>For</w:t>
      </w:r>
      <w:r w:rsidRPr="00A311A2">
        <w:rPr>
          <w:lang w:val="en-GB"/>
        </w:rPr>
        <w:t xml:space="preserve"> every year in </w:t>
      </w:r>
      <w:r>
        <w:rPr>
          <w:lang w:val="en-GB"/>
        </w:rPr>
        <w:t>each of the five EU countries considered</w:t>
      </w:r>
      <w:r w:rsidRPr="00A311A2">
        <w:rPr>
          <w:lang w:val="en-GB"/>
        </w:rPr>
        <w:t xml:space="preserve">, annual growth in LCEGS has been higher than the respective GDP growth, i.e. the LCEGS sector has outperformed the wider economy. </w:t>
      </w:r>
      <w:r>
        <w:rPr>
          <w:lang w:val="en-GB"/>
        </w:rPr>
        <w:t>This was particularly notable d</w:t>
      </w:r>
      <w:r w:rsidR="0059035E" w:rsidRPr="0059035E">
        <w:rPr>
          <w:lang w:val="en-GB"/>
        </w:rPr>
        <w:t xml:space="preserve">uring the economic downturn of 2008/9, </w:t>
      </w:r>
      <w:r>
        <w:rPr>
          <w:lang w:val="en-GB"/>
        </w:rPr>
        <w:t xml:space="preserve">when </w:t>
      </w:r>
      <w:r w:rsidR="0059035E" w:rsidRPr="0059035E">
        <w:rPr>
          <w:lang w:val="en-GB"/>
        </w:rPr>
        <w:t xml:space="preserve">Eco-Industries </w:t>
      </w:r>
      <w:r>
        <w:rPr>
          <w:lang w:val="en-GB"/>
        </w:rPr>
        <w:t>remind relatively stable within stagnating or even contracting economies.</w:t>
      </w:r>
      <w:r w:rsidR="0059035E" w:rsidRPr="0059035E">
        <w:rPr>
          <w:lang w:val="en-GB"/>
        </w:rPr>
        <w:t xml:space="preserve"> </w:t>
      </w:r>
      <w:r w:rsidR="00957970">
        <w:rPr>
          <w:lang w:val="en-GB"/>
        </w:rPr>
        <w:t xml:space="preserve">It should be noted, though, that this </w:t>
      </w:r>
      <w:r w:rsidRPr="0059035E">
        <w:rPr>
          <w:lang w:val="en-GB"/>
        </w:rPr>
        <w:t>counter-cyclical dynamic</w:t>
      </w:r>
      <w:r w:rsidR="00957970">
        <w:rPr>
          <w:lang w:val="en-GB"/>
        </w:rPr>
        <w:t xml:space="preserve"> of Eco-Industries, is also partly due public spending: </w:t>
      </w:r>
      <w:r w:rsidRPr="0059035E">
        <w:rPr>
          <w:lang w:val="en-GB"/>
        </w:rPr>
        <w:t>as government expenditures</w:t>
      </w:r>
      <w:r w:rsidR="00957970">
        <w:rPr>
          <w:lang w:val="en-GB"/>
        </w:rPr>
        <w:t xml:space="preserve"> grew in the early years of the financial crisis, not least through stimulus spending, Eco-Industries have benefitted</w:t>
      </w:r>
      <w:r w:rsidRPr="0059035E">
        <w:rPr>
          <w:lang w:val="en-GB"/>
        </w:rPr>
        <w:t>.</w:t>
      </w:r>
    </w:p>
    <w:p w:rsidR="00B665E0" w:rsidRPr="00E04A13" w:rsidRDefault="0059035E" w:rsidP="0027518A">
      <w:pPr>
        <w:rPr>
          <w:lang w:val="en-GB"/>
        </w:rPr>
      </w:pPr>
      <w:r w:rsidRPr="0059035E">
        <w:rPr>
          <w:lang w:val="en-GB"/>
        </w:rPr>
        <w:t>The most effective Eco-Industry interventions have been found to provide strong investor certainty (e.g. the use of feed-in tariffs in Europe); unsurprisingly, nearly 40% of total growth in Eco-Industries was in the renewable energy sectors. From the European perspective, polic</w:t>
      </w:r>
      <w:r w:rsidR="00957970">
        <w:rPr>
          <w:lang w:val="en-GB"/>
        </w:rPr>
        <w:t>ies to</w:t>
      </w:r>
      <w:r w:rsidRPr="0059035E">
        <w:rPr>
          <w:lang w:val="en-GB"/>
        </w:rPr>
        <w:t xml:space="preserve"> promot</w:t>
      </w:r>
      <w:r w:rsidR="00957970">
        <w:rPr>
          <w:lang w:val="en-GB"/>
        </w:rPr>
        <w:t>e Eco-Industries</w:t>
      </w:r>
      <w:r w:rsidRPr="0059035E">
        <w:rPr>
          <w:lang w:val="en-GB"/>
        </w:rPr>
        <w:t xml:space="preserve"> </w:t>
      </w:r>
      <w:r w:rsidR="00957970">
        <w:rPr>
          <w:lang w:val="en-GB"/>
        </w:rPr>
        <w:t xml:space="preserve">have </w:t>
      </w:r>
      <w:r w:rsidRPr="0059035E">
        <w:rPr>
          <w:lang w:val="en-GB"/>
        </w:rPr>
        <w:t xml:space="preserve">mostly </w:t>
      </w:r>
      <w:r w:rsidR="00957970">
        <w:rPr>
          <w:lang w:val="en-GB"/>
        </w:rPr>
        <w:t xml:space="preserve">been a </w:t>
      </w:r>
      <w:r w:rsidRPr="0059035E">
        <w:rPr>
          <w:lang w:val="en-GB"/>
        </w:rPr>
        <w:t>success</w:t>
      </w:r>
      <w:r w:rsidR="00957970">
        <w:rPr>
          <w:lang w:val="en-GB"/>
        </w:rPr>
        <w:t>:</w:t>
      </w:r>
      <w:r w:rsidRPr="0059035E">
        <w:rPr>
          <w:lang w:val="en-GB"/>
        </w:rPr>
        <w:t xml:space="preserve"> </w:t>
      </w:r>
      <w:r w:rsidR="00957970">
        <w:rPr>
          <w:lang w:val="en-GB"/>
        </w:rPr>
        <w:t xml:space="preserve">since 2008, </w:t>
      </w:r>
      <w:r w:rsidRPr="0059035E">
        <w:rPr>
          <w:lang w:val="en-GB"/>
        </w:rPr>
        <w:t>European Eco-Industries were able</w:t>
      </w:r>
      <w:r w:rsidR="00957970">
        <w:rPr>
          <w:lang w:val="en-GB"/>
        </w:rPr>
        <w:t>, on balance,</w:t>
      </w:r>
      <w:r w:rsidRPr="0059035E">
        <w:rPr>
          <w:lang w:val="en-GB"/>
        </w:rPr>
        <w:t xml:space="preserve"> to </w:t>
      </w:r>
      <w:r w:rsidR="00957970">
        <w:rPr>
          <w:lang w:val="en-GB"/>
        </w:rPr>
        <w:t xml:space="preserve">defend </w:t>
      </w:r>
      <w:r w:rsidRPr="0059035E">
        <w:rPr>
          <w:lang w:val="en-GB"/>
        </w:rPr>
        <w:t xml:space="preserve">their global market share </w:t>
      </w:r>
      <w:r w:rsidR="00957970">
        <w:rPr>
          <w:lang w:val="en-GB"/>
        </w:rPr>
        <w:t xml:space="preserve">in a growing global market, </w:t>
      </w:r>
      <w:r w:rsidRPr="0059035E">
        <w:rPr>
          <w:lang w:val="en-GB"/>
        </w:rPr>
        <w:t xml:space="preserve">and </w:t>
      </w:r>
      <w:r w:rsidR="00957970">
        <w:rPr>
          <w:lang w:val="en-GB"/>
        </w:rPr>
        <w:t xml:space="preserve">despite </w:t>
      </w:r>
      <w:r w:rsidRPr="0059035E">
        <w:rPr>
          <w:lang w:val="en-GB"/>
        </w:rPr>
        <w:t>increased competition. This is</w:t>
      </w:r>
      <w:r w:rsidR="00957970">
        <w:rPr>
          <w:lang w:val="en-GB"/>
        </w:rPr>
        <w:t>, of course, not true for each and every subsector and technology, as witnessed by the fate of much of Europe’s solar PV manufacturing industry.</w:t>
      </w:r>
      <w:r w:rsidRPr="0059035E">
        <w:rPr>
          <w:lang w:val="en-GB"/>
        </w:rPr>
        <w:t xml:space="preserve"> </w:t>
      </w:r>
      <w:r w:rsidR="00957970">
        <w:rPr>
          <w:lang w:val="en-GB"/>
        </w:rPr>
        <w:t xml:space="preserve">Yet, in light the fact that the </w:t>
      </w:r>
      <w:r w:rsidRPr="0059035E">
        <w:rPr>
          <w:lang w:val="en-GB"/>
        </w:rPr>
        <w:t xml:space="preserve">EU </w:t>
      </w:r>
      <w:r w:rsidR="00957970">
        <w:rPr>
          <w:lang w:val="en-GB"/>
        </w:rPr>
        <w:t xml:space="preserve">economy </w:t>
      </w:r>
      <w:r w:rsidRPr="0059035E">
        <w:rPr>
          <w:lang w:val="en-GB"/>
        </w:rPr>
        <w:t xml:space="preserve">as a whole </w:t>
      </w:r>
      <w:r w:rsidR="00957970">
        <w:rPr>
          <w:lang w:val="en-GB"/>
        </w:rPr>
        <w:t>has lost ground to its competitors since 2008, the stable performance of Eco-Industries is a positive sign</w:t>
      </w:r>
      <w:r w:rsidRPr="0059035E">
        <w:rPr>
          <w:lang w:val="en-GB"/>
        </w:rPr>
        <w:t>.</w:t>
      </w:r>
    </w:p>
    <w:p w:rsidR="00AF7738" w:rsidRDefault="0059035E">
      <w:pPr>
        <w:rPr>
          <w:lang w:val="en-GB"/>
        </w:rPr>
      </w:pPr>
      <w:r w:rsidRPr="0059035E">
        <w:rPr>
          <w:lang w:val="en-GB"/>
        </w:rPr>
        <w:t xml:space="preserve">Even with these results, European countries should not necessarily aim to capture all parts of the value chain for relevant Eco-Industries. International market dynamics make it increasingly unlikely that a country could do this without incurring unnecessarily high costs. Solar </w:t>
      </w:r>
      <w:r w:rsidR="00957970">
        <w:rPr>
          <w:lang w:val="en-GB"/>
        </w:rPr>
        <w:t>PV</w:t>
      </w:r>
      <w:r w:rsidRPr="0059035E">
        <w:rPr>
          <w:lang w:val="en-GB"/>
        </w:rPr>
        <w:t xml:space="preserve"> manufacturing is just one example of this. While </w:t>
      </w:r>
      <w:r w:rsidR="00957970" w:rsidRPr="0059035E">
        <w:rPr>
          <w:lang w:val="en-GB"/>
        </w:rPr>
        <w:t>Chin</w:t>
      </w:r>
      <w:r w:rsidR="00957970">
        <w:rPr>
          <w:lang w:val="en-GB"/>
        </w:rPr>
        <w:t>ese competitors</w:t>
      </w:r>
      <w:r w:rsidR="00957970" w:rsidRPr="0059035E">
        <w:rPr>
          <w:lang w:val="en-GB"/>
        </w:rPr>
        <w:t xml:space="preserve"> </w:t>
      </w:r>
      <w:r w:rsidR="00957970">
        <w:rPr>
          <w:lang w:val="en-GB"/>
        </w:rPr>
        <w:t xml:space="preserve">supplanted the </w:t>
      </w:r>
      <w:r w:rsidRPr="0059035E">
        <w:rPr>
          <w:lang w:val="en-GB"/>
        </w:rPr>
        <w:t>earl</w:t>
      </w:r>
      <w:r w:rsidR="00957970">
        <w:rPr>
          <w:lang w:val="en-GB"/>
        </w:rPr>
        <w:t>ier</w:t>
      </w:r>
      <w:r w:rsidRPr="0059035E">
        <w:rPr>
          <w:lang w:val="en-GB"/>
        </w:rPr>
        <w:t xml:space="preserve"> market dominance </w:t>
      </w:r>
      <w:r w:rsidR="00957970">
        <w:rPr>
          <w:lang w:val="en-GB"/>
        </w:rPr>
        <w:t xml:space="preserve">of </w:t>
      </w:r>
      <w:r w:rsidRPr="0059035E">
        <w:rPr>
          <w:lang w:val="en-GB"/>
        </w:rPr>
        <w:t xml:space="preserve">German </w:t>
      </w:r>
      <w:r w:rsidR="00957970">
        <w:rPr>
          <w:lang w:val="en-GB"/>
        </w:rPr>
        <w:t>manufacturers of PV modules</w:t>
      </w:r>
      <w:r w:rsidRPr="0059035E">
        <w:rPr>
          <w:lang w:val="en-GB"/>
        </w:rPr>
        <w:t xml:space="preserve">, the </w:t>
      </w:r>
      <w:r w:rsidR="00957970">
        <w:rPr>
          <w:lang w:val="en-GB"/>
        </w:rPr>
        <w:t xml:space="preserve">vast majority of value-added </w:t>
      </w:r>
      <w:r w:rsidRPr="0059035E">
        <w:rPr>
          <w:lang w:val="en-GB"/>
        </w:rPr>
        <w:t xml:space="preserve">and </w:t>
      </w:r>
      <w:r w:rsidR="00957970">
        <w:rPr>
          <w:lang w:val="en-GB"/>
        </w:rPr>
        <w:t xml:space="preserve">particularly </w:t>
      </w:r>
      <w:r w:rsidRPr="0059035E">
        <w:rPr>
          <w:lang w:val="en-GB"/>
        </w:rPr>
        <w:t>employment effects are still retained in Germany. This is because</w:t>
      </w:r>
      <w:r w:rsidR="00957970">
        <w:rPr>
          <w:lang w:val="en-GB"/>
        </w:rPr>
        <w:t>,</w:t>
      </w:r>
      <w:r w:rsidRPr="0059035E">
        <w:rPr>
          <w:lang w:val="en-GB"/>
        </w:rPr>
        <w:t xml:space="preserve"> </w:t>
      </w:r>
      <w:r w:rsidR="00957970">
        <w:rPr>
          <w:lang w:val="en-GB"/>
        </w:rPr>
        <w:t>e</w:t>
      </w:r>
      <w:r w:rsidR="009F79E8" w:rsidRPr="00E04A13">
        <w:rPr>
          <w:lang w:val="en-GB"/>
        </w:rPr>
        <w:t xml:space="preserve">ven though equipment can be exported and imported, much of the value added of Eco-Industries is locally </w:t>
      </w:r>
      <w:proofErr w:type="gramStart"/>
      <w:r w:rsidR="009F79E8" w:rsidRPr="00E04A13">
        <w:rPr>
          <w:lang w:val="en-GB"/>
        </w:rPr>
        <w:t>bound</w:t>
      </w:r>
      <w:proofErr w:type="gramEnd"/>
      <w:r w:rsidR="009F79E8" w:rsidRPr="00E04A13">
        <w:rPr>
          <w:lang w:val="en-GB"/>
        </w:rPr>
        <w:t xml:space="preserve"> as installation and maintenance of appliances have to be provided locally. This means that the economic effects of Eco-Industries can be substantial, even if there is no large domestic industry for the manufacture of </w:t>
      </w:r>
      <w:r w:rsidR="009B09AE" w:rsidRPr="00E04A13">
        <w:rPr>
          <w:lang w:val="en-GB"/>
        </w:rPr>
        <w:t>equipment. But it also means that the local business climate, and propensity to invest, is an important factor for the growth in Eco-Industries.</w:t>
      </w:r>
    </w:p>
    <w:p w:rsidR="005A7896" w:rsidRDefault="00E22989">
      <w:pPr>
        <w:rPr>
          <w:lang w:val="en-GB"/>
        </w:rPr>
      </w:pPr>
      <w:r w:rsidRPr="00E04A13">
        <w:rPr>
          <w:lang w:val="en-GB"/>
        </w:rPr>
        <w:t xml:space="preserve">In the contest to promote Eco-Industries, the EU currently faces a more focused, long-term public sector challenge from China than from the United States – at least in terms of nationally-directed attention to Eco-Industries. The US Congress remains highly sceptical of directly supporting Eco-Industries, and the current Administration has only limited means to promote them after the exhaustion </w:t>
      </w:r>
      <w:r w:rsidR="00053139" w:rsidRPr="00E04A13">
        <w:rPr>
          <w:lang w:val="en-GB"/>
        </w:rPr>
        <w:t>of stimulus funds. Chinese governmental attention, on the other hand, warrants particular attention from EU policymakers. For example, the Chinese government has set a</w:t>
      </w:r>
      <w:r w:rsidR="0059035E" w:rsidRPr="0059035E">
        <w:rPr>
          <w:lang w:val="en-GB"/>
        </w:rPr>
        <w:t xml:space="preserve"> specific </w:t>
      </w:r>
      <w:r w:rsidR="00F06404" w:rsidRPr="00E04A13">
        <w:rPr>
          <w:lang w:val="en-GB"/>
        </w:rPr>
        <w:t xml:space="preserve">target for the share of Eco-Industries in the overall economy (15% of GDP by 2020). </w:t>
      </w:r>
      <w:r w:rsidR="0059035E" w:rsidRPr="0059035E">
        <w:rPr>
          <w:lang w:val="en-GB"/>
        </w:rPr>
        <w:t xml:space="preserve">While the EU Commission is considering manufacturing targets overall, some attention could be given to the share of Eco-Industries as a sub-category. Moreover, China has meshed this target </w:t>
      </w:r>
      <w:r w:rsidR="00F06404" w:rsidRPr="00E04A13">
        <w:rPr>
          <w:lang w:val="en-GB"/>
        </w:rPr>
        <w:t>with its various resource efficiency targets for the manufacturing sectors (i.e. decreased water use per industrial value a</w:t>
      </w:r>
      <w:r w:rsidR="0059035E" w:rsidRPr="0059035E">
        <w:rPr>
          <w:lang w:val="en-GB"/>
        </w:rPr>
        <w:t>dded). As the EU seeks to remain competitive in Eco-Industries over time, it may choose to conside</w:t>
      </w:r>
      <w:r w:rsidR="005A7896">
        <w:rPr>
          <w:lang w:val="en-GB"/>
        </w:rPr>
        <w:t>r</w:t>
      </w:r>
      <w:r w:rsidR="0059035E" w:rsidRPr="0059035E">
        <w:rPr>
          <w:lang w:val="en-GB"/>
        </w:rPr>
        <w:t xml:space="preserve"> incorporating similar goals into </w:t>
      </w:r>
      <w:r w:rsidR="005A7896">
        <w:rPr>
          <w:lang w:val="en-GB"/>
        </w:rPr>
        <w:t>its economic and industry policies</w:t>
      </w:r>
      <w:r w:rsidR="0059035E" w:rsidRPr="0059035E">
        <w:rPr>
          <w:lang w:val="en-GB"/>
        </w:rPr>
        <w:t xml:space="preserve">. </w:t>
      </w:r>
    </w:p>
    <w:p w:rsidR="005A7896" w:rsidRDefault="005A7896">
      <w:pPr>
        <w:rPr>
          <w:lang w:val="en-GB"/>
        </w:rPr>
      </w:pPr>
      <w:r>
        <w:rPr>
          <w:lang w:val="en-GB"/>
        </w:rPr>
        <w:t>Yet, in terms of innovativeness of Eco-Industries, using the patenting activity as a proxy, the race is currently still being fought between the US a</w:t>
      </w:r>
      <w:r w:rsidR="0078734B">
        <w:rPr>
          <w:lang w:val="en-GB"/>
        </w:rPr>
        <w:t>nd Europe. European Eco-Industr</w:t>
      </w:r>
      <w:r>
        <w:rPr>
          <w:lang w:val="en-GB"/>
        </w:rPr>
        <w:t>i</w:t>
      </w:r>
      <w:r w:rsidR="0078734B">
        <w:rPr>
          <w:lang w:val="en-GB"/>
        </w:rPr>
        <w:t>e</w:t>
      </w:r>
      <w:r>
        <w:rPr>
          <w:lang w:val="en-GB"/>
        </w:rPr>
        <w:t xml:space="preserve">s are </w:t>
      </w:r>
      <w:r w:rsidRPr="00E04A13">
        <w:rPr>
          <w:lang w:val="en-GB"/>
        </w:rPr>
        <w:t xml:space="preserve">very well positioned for </w:t>
      </w:r>
      <w:r>
        <w:rPr>
          <w:lang w:val="en-GB"/>
        </w:rPr>
        <w:t xml:space="preserve">technologies such as </w:t>
      </w:r>
      <w:r w:rsidRPr="00E04A13">
        <w:rPr>
          <w:lang w:val="en-GB"/>
        </w:rPr>
        <w:t xml:space="preserve">waste management and electric vehicles – and, to a lesser degree, energy storage – where </w:t>
      </w:r>
      <w:r>
        <w:rPr>
          <w:lang w:val="en-GB"/>
        </w:rPr>
        <w:t xml:space="preserve">they </w:t>
      </w:r>
      <w:r w:rsidRPr="00E04A13">
        <w:rPr>
          <w:lang w:val="en-GB"/>
        </w:rPr>
        <w:t xml:space="preserve">leads innovation activity with an increasing margin. For a number of technologies, such as air and water pollution abatement, wind energy and insulation, the EU is currently </w:t>
      </w:r>
      <w:r>
        <w:rPr>
          <w:lang w:val="en-GB"/>
        </w:rPr>
        <w:t xml:space="preserve">still </w:t>
      </w:r>
      <w:r w:rsidRPr="00E04A13">
        <w:rPr>
          <w:lang w:val="en-GB"/>
        </w:rPr>
        <w:t xml:space="preserve">the technological leader, but the gap is closing. Finally, for solar PV and in particular for </w:t>
      </w:r>
      <w:proofErr w:type="spellStart"/>
      <w:r w:rsidRPr="00E04A13">
        <w:rPr>
          <w:lang w:val="en-GB"/>
        </w:rPr>
        <w:t>biofuels</w:t>
      </w:r>
      <w:proofErr w:type="spellEnd"/>
      <w:r w:rsidRPr="00E04A13">
        <w:rPr>
          <w:lang w:val="en-GB"/>
        </w:rPr>
        <w:t>, the EU is neither the technological leader</w:t>
      </w:r>
      <w:r>
        <w:rPr>
          <w:lang w:val="en-GB"/>
        </w:rPr>
        <w:t xml:space="preserve">, nor do the </w:t>
      </w:r>
      <w:r w:rsidRPr="00E04A13">
        <w:rPr>
          <w:lang w:val="en-GB"/>
        </w:rPr>
        <w:t>growth rates</w:t>
      </w:r>
      <w:r>
        <w:rPr>
          <w:lang w:val="en-GB"/>
        </w:rPr>
        <w:t xml:space="preserve"> suggest that the EU is catching up</w:t>
      </w:r>
      <w:r w:rsidRPr="00E04A13">
        <w:rPr>
          <w:lang w:val="en-GB"/>
        </w:rPr>
        <w:t>.</w:t>
      </w:r>
      <w:r>
        <w:rPr>
          <w:lang w:val="en-GB"/>
        </w:rPr>
        <w:t xml:space="preserve"> China, by contrast, does not yet account for a majority of patents in any of the technologies considered. Yet, if Chinese companies manage to maintain the current rapid growth in patenting activity, this is bound to change eventually</w:t>
      </w:r>
      <w:r w:rsidR="0078734B">
        <w:rPr>
          <w:lang w:val="en-GB"/>
        </w:rPr>
        <w:t xml:space="preserve"> for technologies such as water pollution abatement, insulation or solar PV.</w:t>
      </w:r>
    </w:p>
    <w:p w:rsidR="005B361E" w:rsidRPr="00E04A13" w:rsidRDefault="0059035E">
      <w:pPr>
        <w:rPr>
          <w:lang w:val="en-GB"/>
        </w:rPr>
      </w:pPr>
      <w:r w:rsidRPr="0059035E">
        <w:rPr>
          <w:lang w:val="en-GB"/>
        </w:rPr>
        <w:t xml:space="preserve">Lastly, it is important to consider the role of Eco-Industries terms of overall economic performance. A recent US think tank study found useful secondary effects from clean economy activity. The clean economy in the US was found to entail a larger share of manufacturing activity than the economy as a whole and it exported twice the value per job, on average, than the standard US job. This is likely to be the case in the EU as well. </w:t>
      </w:r>
      <w:r w:rsidR="0078734B">
        <w:rPr>
          <w:lang w:val="en-GB"/>
        </w:rPr>
        <w:t>Thus, w</w:t>
      </w:r>
      <w:r w:rsidRPr="0059035E">
        <w:rPr>
          <w:lang w:val="en-GB"/>
        </w:rPr>
        <w:t xml:space="preserve">hen considering the EU’s target of </w:t>
      </w:r>
      <w:r w:rsidR="0078734B">
        <w:rPr>
          <w:lang w:val="en-GB"/>
        </w:rPr>
        <w:t xml:space="preserve">a </w:t>
      </w:r>
      <w:r w:rsidRPr="0059035E">
        <w:rPr>
          <w:lang w:val="en-GB"/>
        </w:rPr>
        <w:t xml:space="preserve">20% </w:t>
      </w:r>
      <w:r w:rsidR="0078734B">
        <w:rPr>
          <w:lang w:val="en-GB"/>
        </w:rPr>
        <w:t xml:space="preserve">share </w:t>
      </w:r>
      <w:r w:rsidRPr="0059035E">
        <w:rPr>
          <w:lang w:val="en-GB"/>
        </w:rPr>
        <w:t xml:space="preserve">of </w:t>
      </w:r>
      <w:r w:rsidR="0078734B">
        <w:rPr>
          <w:lang w:val="en-GB"/>
        </w:rPr>
        <w:t xml:space="preserve">industry in </w:t>
      </w:r>
      <w:r w:rsidRPr="0059035E">
        <w:rPr>
          <w:lang w:val="en-GB"/>
        </w:rPr>
        <w:t xml:space="preserve">GDP by 2020, </w:t>
      </w:r>
      <w:r w:rsidR="0078734B">
        <w:rPr>
          <w:lang w:val="en-GB"/>
        </w:rPr>
        <w:t xml:space="preserve">industrial policies and the wider economic framework should be designed such that </w:t>
      </w:r>
      <w:r w:rsidRPr="0059035E">
        <w:rPr>
          <w:lang w:val="en-GB"/>
        </w:rPr>
        <w:t xml:space="preserve">Eco-Industries </w:t>
      </w:r>
      <w:r w:rsidR="0078734B">
        <w:rPr>
          <w:lang w:val="en-GB"/>
        </w:rPr>
        <w:t xml:space="preserve">form a substantial part of this target. </w:t>
      </w:r>
    </w:p>
    <w:p w:rsidR="002B2603" w:rsidRPr="00E04A13" w:rsidRDefault="008D1804" w:rsidP="006F6028">
      <w:pPr>
        <w:pStyle w:val="Heading1"/>
        <w:spacing w:before="480"/>
        <w:rPr>
          <w:lang w:val="en-GB"/>
        </w:rPr>
      </w:pPr>
      <w:bookmarkStart w:id="54" w:name="_Toc251626651"/>
      <w:r w:rsidRPr="00E04A13">
        <w:rPr>
          <w:lang w:val="en-GB"/>
        </w:rPr>
        <w:t>References</w:t>
      </w:r>
      <w:bookmarkEnd w:id="54"/>
    </w:p>
    <w:p w:rsidR="00394BB8" w:rsidRPr="00C060F9" w:rsidRDefault="00EA4FE5" w:rsidP="00C060F9">
      <w:pPr>
        <w:pStyle w:val="EcoReferenceList"/>
        <w:spacing w:after="240"/>
        <w:rPr>
          <w:lang w:val="en-GB"/>
        </w:rPr>
      </w:pPr>
      <w:r w:rsidRPr="00C060F9">
        <w:rPr>
          <w:lang w:val="en-GB"/>
        </w:rPr>
        <w:fldChar w:fldCharType="begin"/>
      </w:r>
      <w:r w:rsidR="00394BB8" w:rsidRPr="00C060F9">
        <w:rPr>
          <w:lang w:val="en-GB"/>
        </w:rPr>
        <w:instrText xml:space="preserve"> ADDIN ZOTERO_BIBL {"custom":[]} CSL_BIBLIOGRAPHY </w:instrText>
      </w:r>
      <w:r w:rsidRPr="00C060F9">
        <w:rPr>
          <w:lang w:val="en-GB"/>
        </w:rPr>
        <w:fldChar w:fldCharType="separate"/>
      </w:r>
      <w:r w:rsidR="00394BB8" w:rsidRPr="00C060F9">
        <w:rPr>
          <w:lang w:val="en-GB"/>
        </w:rPr>
        <w:t>Alle</w:t>
      </w:r>
      <w:r w:rsidR="00C060F9">
        <w:rPr>
          <w:lang w:val="en-GB"/>
        </w:rPr>
        <w:t xml:space="preserve">n, Cameron, and Clouth Stuart. </w:t>
      </w:r>
      <w:r w:rsidR="00394BB8" w:rsidRPr="00C060F9">
        <w:rPr>
          <w:i/>
          <w:lang w:val="en-GB"/>
        </w:rPr>
        <w:t>A</w:t>
      </w:r>
      <w:r w:rsidR="00C060F9" w:rsidRPr="00C060F9">
        <w:rPr>
          <w:i/>
          <w:lang w:val="en-GB"/>
        </w:rPr>
        <w:t xml:space="preserve"> Guidebook to the Green Economy</w:t>
      </w:r>
      <w:r w:rsidR="00394BB8" w:rsidRPr="00C060F9">
        <w:rPr>
          <w:lang w:val="en-GB"/>
        </w:rPr>
        <w:t>. UN Division for Sustainable Development. 2012. http://sustainabledevelopment.un.org/content/documents/GE%20Guidebook.pdf.</w:t>
      </w:r>
    </w:p>
    <w:p w:rsidR="00C060F9" w:rsidRPr="00C060F9" w:rsidRDefault="00EA4FE5" w:rsidP="00C060F9">
      <w:pPr>
        <w:pStyle w:val="EcoReferenceList"/>
        <w:spacing w:after="240"/>
      </w:pPr>
      <w:r w:rsidRPr="00C060F9">
        <w:fldChar w:fldCharType="begin"/>
      </w:r>
      <w:r w:rsidR="00C060F9" w:rsidRPr="00C060F9">
        <w:instrText xml:space="preserve"> ADDIN ZOTERO_BIBL {"custom":[]} CSL_BIBLIOGRAPHY </w:instrText>
      </w:r>
      <w:r w:rsidRPr="00C060F9">
        <w:fldChar w:fldCharType="separate"/>
      </w:r>
      <w:r w:rsidR="00C060F9" w:rsidRPr="00C060F9">
        <w:t xml:space="preserve">Battelle. </w:t>
      </w:r>
      <w:r w:rsidR="00C060F9" w:rsidRPr="00C060F9">
        <w:rPr>
          <w:i/>
        </w:rPr>
        <w:t>2012 Global R&amp;D Funding Forecast</w:t>
      </w:r>
      <w:r w:rsidR="00C060F9">
        <w:t>.</w:t>
      </w:r>
      <w:r w:rsidR="00C060F9" w:rsidRPr="00C060F9">
        <w:t xml:space="preserve"> 2012. http://battelle.org/docs/default-document-library/2012_global_forecast.pdf.</w:t>
      </w:r>
    </w:p>
    <w:p w:rsidR="00BD0538" w:rsidRPr="00C060F9" w:rsidRDefault="00EA4FE5" w:rsidP="00C060F9">
      <w:pPr>
        <w:pStyle w:val="EcoReferenceList"/>
        <w:spacing w:after="240"/>
        <w:rPr>
          <w:lang w:val="en-GB"/>
        </w:rPr>
      </w:pPr>
      <w:r w:rsidRPr="00C060F9">
        <w:fldChar w:fldCharType="end"/>
      </w:r>
      <w:r w:rsidRPr="00C060F9">
        <w:rPr>
          <w:lang w:val="en-GB"/>
        </w:rPr>
        <w:fldChar w:fldCharType="end"/>
      </w:r>
      <w:proofErr w:type="spellStart"/>
      <w:r w:rsidR="00BD0538" w:rsidRPr="00C060F9">
        <w:rPr>
          <w:lang w:val="en-GB"/>
        </w:rPr>
        <w:t>Bilsen</w:t>
      </w:r>
      <w:proofErr w:type="spellEnd"/>
      <w:r w:rsidR="00BD0538" w:rsidRPr="00C060F9">
        <w:rPr>
          <w:lang w:val="en-GB"/>
        </w:rPr>
        <w:t xml:space="preserve">, Dr. </w:t>
      </w:r>
      <w:proofErr w:type="spellStart"/>
      <w:r w:rsidR="00BD0538" w:rsidRPr="00C060F9">
        <w:rPr>
          <w:lang w:val="en-GB"/>
        </w:rPr>
        <w:t>Va</w:t>
      </w:r>
      <w:r w:rsidR="00FC3A8B">
        <w:rPr>
          <w:lang w:val="en-GB"/>
        </w:rPr>
        <w:t>lentijn</w:t>
      </w:r>
      <w:proofErr w:type="spellEnd"/>
      <w:r w:rsidR="00FC3A8B">
        <w:rPr>
          <w:lang w:val="en-GB"/>
        </w:rPr>
        <w:t xml:space="preserve">, and </w:t>
      </w:r>
      <w:proofErr w:type="spellStart"/>
      <w:r w:rsidR="00FC3A8B">
        <w:rPr>
          <w:lang w:val="en-GB"/>
        </w:rPr>
        <w:t>Koen</w:t>
      </w:r>
      <w:proofErr w:type="spellEnd"/>
      <w:r w:rsidR="00FC3A8B">
        <w:rPr>
          <w:lang w:val="en-GB"/>
        </w:rPr>
        <w:t xml:space="preserve"> </w:t>
      </w:r>
      <w:proofErr w:type="spellStart"/>
      <w:r w:rsidR="00FC3A8B">
        <w:rPr>
          <w:lang w:val="en-GB"/>
        </w:rPr>
        <w:t>Rademaekers</w:t>
      </w:r>
      <w:proofErr w:type="spellEnd"/>
      <w:r w:rsidR="00FC3A8B">
        <w:rPr>
          <w:lang w:val="en-GB"/>
        </w:rPr>
        <w:t xml:space="preserve">. </w:t>
      </w:r>
      <w:r w:rsidR="00BD0538" w:rsidRPr="00FC3A8B">
        <w:rPr>
          <w:i/>
          <w:lang w:val="en-GB"/>
        </w:rPr>
        <w:t>Study on the Competitiveness of the E</w:t>
      </w:r>
      <w:r w:rsidR="00FC3A8B" w:rsidRPr="00FC3A8B">
        <w:rPr>
          <w:i/>
          <w:lang w:val="en-GB"/>
        </w:rPr>
        <w:t>U Eco-Industry</w:t>
      </w:r>
      <w:r w:rsidR="00BD0538" w:rsidRPr="00C060F9">
        <w:rPr>
          <w:lang w:val="en-GB"/>
        </w:rPr>
        <w:t xml:space="preserve">. Brussels: </w:t>
      </w:r>
      <w:r w:rsidR="00314953" w:rsidRPr="00C060F9">
        <w:rPr>
          <w:lang w:val="en-GB"/>
        </w:rPr>
        <w:t xml:space="preserve">2009. </w:t>
      </w:r>
      <w:proofErr w:type="spellStart"/>
      <w:r w:rsidR="00BD0538" w:rsidRPr="00C060F9">
        <w:rPr>
          <w:lang w:val="en-GB"/>
        </w:rPr>
        <w:t>Ecorys</w:t>
      </w:r>
      <w:proofErr w:type="spellEnd"/>
      <w:r w:rsidR="00BD0538" w:rsidRPr="00C060F9">
        <w:rPr>
          <w:lang w:val="en-GB"/>
        </w:rPr>
        <w:t>. http://ec.europa.eu/enterprise/newsroom/cf/_getdocument.cfm?doc_id=5416.</w:t>
      </w:r>
    </w:p>
    <w:p w:rsidR="00BD0538" w:rsidRPr="00116494" w:rsidRDefault="00EA4FE5" w:rsidP="00C060F9">
      <w:pPr>
        <w:pStyle w:val="EcoReferenceList"/>
        <w:spacing w:after="240"/>
        <w:rPr>
          <w:lang w:val="de-DE"/>
        </w:rPr>
      </w:pPr>
      <w:r w:rsidRPr="00C060F9">
        <w:rPr>
          <w:lang w:val="en-GB"/>
        </w:rPr>
        <w:fldChar w:fldCharType="begin"/>
      </w:r>
      <w:r w:rsidR="00BD0538" w:rsidRPr="00C060F9">
        <w:rPr>
          <w:lang w:val="de-DE"/>
        </w:rPr>
        <w:instrText xml:space="preserve"> ADDIN ZOTERO_BIBL {"custom":[]} CSL_BIBLIOGRAPHY </w:instrText>
      </w:r>
      <w:r w:rsidRPr="00C060F9">
        <w:rPr>
          <w:lang w:val="en-GB"/>
        </w:rPr>
        <w:fldChar w:fldCharType="separate"/>
      </w:r>
      <w:r w:rsidR="00BD0538" w:rsidRPr="00C060F9">
        <w:rPr>
          <w:lang w:val="de-DE"/>
        </w:rPr>
        <w:t>Bundesministerium für Umwelt, Naturschutz und Reaktorsicherheit</w:t>
      </w:r>
      <w:r w:rsidR="00C060F9" w:rsidRPr="00C060F9">
        <w:rPr>
          <w:lang w:val="de-DE"/>
        </w:rPr>
        <w:t>, and Umweltbundesamt.</w:t>
      </w:r>
      <w:r w:rsidR="00BD0538" w:rsidRPr="00C060F9">
        <w:rPr>
          <w:lang w:val="de-DE"/>
        </w:rPr>
        <w:t xml:space="preserve"> </w:t>
      </w:r>
      <w:r w:rsidR="00BD0538" w:rsidRPr="00116494">
        <w:rPr>
          <w:i/>
          <w:iCs/>
          <w:lang w:val="de-DE"/>
        </w:rPr>
        <w:t>Erneuerbare Energien in Zahlen. Nationale Und Internationale Entwicklung</w:t>
      </w:r>
      <w:r w:rsidR="00BD0538" w:rsidRPr="00116494">
        <w:rPr>
          <w:lang w:val="de-DE"/>
        </w:rPr>
        <w:t>. Berlin, July 2013.</w:t>
      </w:r>
    </w:p>
    <w:p w:rsidR="00BD0538" w:rsidRPr="00C060F9" w:rsidRDefault="00C060F9" w:rsidP="00C060F9">
      <w:pPr>
        <w:pStyle w:val="EcoReferenceList"/>
        <w:spacing w:after="240"/>
        <w:rPr>
          <w:lang w:val="en-GB"/>
        </w:rPr>
      </w:pPr>
      <w:r w:rsidRPr="00C060F9">
        <w:rPr>
          <w:lang w:val="en-GB"/>
        </w:rPr>
        <w:t>———.</w:t>
      </w:r>
      <w:r w:rsidRPr="00116494">
        <w:t xml:space="preserve"> </w:t>
      </w:r>
      <w:r w:rsidR="00BD0538" w:rsidRPr="00116494">
        <w:rPr>
          <w:i/>
          <w:iCs/>
        </w:rPr>
        <w:t xml:space="preserve">Report on the Environmental Economy 2011. </w:t>
      </w:r>
      <w:r w:rsidR="00BD0538" w:rsidRPr="00C060F9">
        <w:rPr>
          <w:i/>
          <w:iCs/>
          <w:lang w:val="en-GB"/>
        </w:rPr>
        <w:t>Facts &amp; Figures for Germany</w:t>
      </w:r>
      <w:r w:rsidR="00BD0538" w:rsidRPr="00C060F9">
        <w:rPr>
          <w:lang w:val="en-GB"/>
        </w:rPr>
        <w:t>. Berlin, September 2011.</w:t>
      </w:r>
    </w:p>
    <w:p w:rsidR="00026D98" w:rsidRPr="00C060F9" w:rsidRDefault="00026D98" w:rsidP="00C060F9">
      <w:pPr>
        <w:pStyle w:val="EcoReferenceList"/>
        <w:spacing w:after="240"/>
        <w:rPr>
          <w:lang w:val="en-GB"/>
        </w:rPr>
      </w:pPr>
      <w:r w:rsidRPr="00C060F9">
        <w:rPr>
          <w:lang w:val="en-GB"/>
        </w:rPr>
        <w:t>Energy Sector Management Assistance Program, Low Carbon Growth Country Studies Program. 2010. “Low-Carbon Development for Mexico.” http://sustainabledevelopment.un.org/content/documents/851mexico.pdf.</w:t>
      </w:r>
    </w:p>
    <w:p w:rsidR="00C32840" w:rsidRPr="00C060F9" w:rsidRDefault="00C32840" w:rsidP="00C060F9">
      <w:pPr>
        <w:pStyle w:val="EcoReferenceList"/>
        <w:spacing w:after="240"/>
        <w:rPr>
          <w:lang w:val="en-GB"/>
        </w:rPr>
      </w:pPr>
      <w:r w:rsidRPr="00C060F9">
        <w:rPr>
          <w:lang w:val="en-GB"/>
        </w:rPr>
        <w:t>Eurostat. “Share of energy from renewable sources - Eurostat Code nrg_ind_335a.” 2013. http://appsso.eurostat.ec.europa.eu/nui/show.do?dataset=nrg_ind_335a&amp;lang=en.</w:t>
      </w:r>
    </w:p>
    <w:p w:rsidR="00C060F9" w:rsidRPr="00C060F9" w:rsidRDefault="00C060F9" w:rsidP="00C060F9">
      <w:pPr>
        <w:pStyle w:val="EcoReferenceList"/>
        <w:spacing w:after="240"/>
      </w:pPr>
      <w:r w:rsidRPr="00C060F9">
        <w:t>EV Obsession. “EV Lithium-Ion Battery List Topped By LG Chem, Johnson Controls, &amp; AESC.” July 2013. http://evobsession.com/ev-lithium-ion-battery-list-topped-by-lg-chem-johnson-controls-aesc/.</w:t>
      </w:r>
    </w:p>
    <w:p w:rsidR="00F65B1E" w:rsidRPr="00C060F9" w:rsidRDefault="00F65B1E" w:rsidP="00C060F9">
      <w:pPr>
        <w:pStyle w:val="EcoReferenceList"/>
        <w:spacing w:after="240"/>
        <w:rPr>
          <w:lang w:val="en-GB"/>
        </w:rPr>
      </w:pPr>
      <w:r w:rsidRPr="00C060F9">
        <w:rPr>
          <w:lang w:val="en-GB"/>
        </w:rPr>
        <w:t xml:space="preserve">Gordon, Kate, Robert Borosage, Derek Pugh, “The Green Industrial Revolution and the United States,” The Center for American Progress, December 2013. </w:t>
      </w:r>
    </w:p>
    <w:p w:rsidR="00430709" w:rsidRPr="00C060F9" w:rsidRDefault="00EA4FE5" w:rsidP="00C060F9">
      <w:pPr>
        <w:pStyle w:val="EcoReferenceList"/>
        <w:spacing w:after="240"/>
        <w:rPr>
          <w:lang w:val="en-GB"/>
        </w:rPr>
      </w:pPr>
      <w:r w:rsidRPr="00C060F9">
        <w:rPr>
          <w:lang w:val="en-GB"/>
        </w:rPr>
        <w:fldChar w:fldCharType="begin"/>
      </w:r>
      <w:r w:rsidR="00430709" w:rsidRPr="00C060F9">
        <w:rPr>
          <w:lang w:val="en-GB"/>
        </w:rPr>
        <w:instrText xml:space="preserve"> ADDIN ZOTERO_BIBL {"custom":[]} CSL_BIBLIOGRAPHY </w:instrText>
      </w:r>
      <w:r w:rsidRPr="00C060F9">
        <w:rPr>
          <w:lang w:val="en-GB"/>
        </w:rPr>
        <w:fldChar w:fldCharType="separate"/>
      </w:r>
      <w:r w:rsidR="00430709" w:rsidRPr="00C060F9">
        <w:rPr>
          <w:lang w:val="en-GB"/>
        </w:rPr>
        <w:t>International</w:t>
      </w:r>
      <w:r w:rsidR="00FC3A8B">
        <w:rPr>
          <w:lang w:val="en-GB"/>
        </w:rPr>
        <w:t xml:space="preserve"> Institute for Labour Studies. </w:t>
      </w:r>
      <w:r w:rsidR="00FC3A8B" w:rsidRPr="00FC3A8B">
        <w:rPr>
          <w:i/>
          <w:lang w:val="en-GB"/>
        </w:rPr>
        <w:t>Green Stimulus Measures</w:t>
      </w:r>
      <w:r w:rsidR="00430709" w:rsidRPr="00C060F9">
        <w:rPr>
          <w:lang w:val="en-GB"/>
        </w:rPr>
        <w:t>. EC-IILS Joint Discussion Paper Series No. 15. 2011. http://www.google.de/url?sa=t&amp;rct=j&amp;q=&amp;esrc=s&amp;source=web&amp;cd=1&amp;cad=rja&amp;ved=0CC8QFjAA&amp;url=http%3A%2F%2Fec.europa.eu%2Fsocial%2FBlobServlet%3FdocId%3D7247%26langId%3Den&amp;ei=u47WUqGjBdLv4QT_xIGwDw&amp;usg=AFQjCNEfLb73t2dgCB_sxmx0wnxvaewXcw&amp;sig2=bBFfTZXAkQGaQ7cUbtWckA&amp;bvm=bv.59378465,d.bGE.</w:t>
      </w:r>
    </w:p>
    <w:p w:rsidR="00F65B1E" w:rsidRPr="00C060F9" w:rsidRDefault="00EA4FE5" w:rsidP="00C060F9">
      <w:pPr>
        <w:pStyle w:val="EcoReferenceList"/>
        <w:spacing w:after="240"/>
        <w:rPr>
          <w:lang w:val="en-GB"/>
        </w:rPr>
      </w:pPr>
      <w:r w:rsidRPr="00C060F9">
        <w:rPr>
          <w:lang w:val="en-GB"/>
        </w:rPr>
        <w:fldChar w:fldCharType="end"/>
      </w:r>
      <w:r w:rsidR="00F65B1E" w:rsidRPr="00116494">
        <w:rPr>
          <w:lang w:val="de-DE"/>
        </w:rPr>
        <w:t>Kassenberg, Andrze</w:t>
      </w:r>
      <w:r w:rsidR="00FC3A8B" w:rsidRPr="00116494">
        <w:rPr>
          <w:lang w:val="de-DE"/>
        </w:rPr>
        <w:t xml:space="preserve">j, and Piotr Kassenberg. </w:t>
      </w:r>
      <w:r w:rsidR="00FC3A8B">
        <w:rPr>
          <w:lang w:val="en-GB"/>
        </w:rPr>
        <w:t xml:space="preserve">2011. </w:t>
      </w:r>
      <w:r w:rsidR="00FC3A8B" w:rsidRPr="00FC3A8B">
        <w:rPr>
          <w:i/>
          <w:lang w:val="en-GB"/>
        </w:rPr>
        <w:t>Eco-Innovation in Poland</w:t>
      </w:r>
      <w:r w:rsidR="00F65B1E" w:rsidRPr="00C060F9">
        <w:rPr>
          <w:lang w:val="en-GB"/>
        </w:rPr>
        <w:t>. Eco-Innovation Observatory. http://www.eco-innovation.eu/media/EIO_Country_Brief_2011_Poland.pdf.</w:t>
      </w:r>
    </w:p>
    <w:p w:rsidR="0005576E" w:rsidRPr="00C060F9" w:rsidRDefault="0005576E" w:rsidP="00C060F9">
      <w:pPr>
        <w:pStyle w:val="EcoReferenceList"/>
        <w:spacing w:after="240"/>
        <w:rPr>
          <w:lang w:val="en-GB"/>
        </w:rPr>
      </w:pPr>
      <w:r w:rsidRPr="00C060F9">
        <w:rPr>
          <w:lang w:val="en-GB"/>
        </w:rPr>
        <w:t>Ministry of Environment and Natural Resources. “Inicio | Secretaría de Medio Ambiente y Recursos Naturales.” Mexico, D.F.: 2014. http://www.semarnat.gob.mx/.</w:t>
      </w:r>
    </w:p>
    <w:p w:rsidR="0005576E" w:rsidRPr="00C060F9" w:rsidRDefault="00C060F9" w:rsidP="00C060F9">
      <w:pPr>
        <w:pStyle w:val="EcoReferenceList"/>
        <w:spacing w:after="240"/>
        <w:rPr>
          <w:lang w:val="en-GB"/>
        </w:rPr>
      </w:pPr>
      <w:r w:rsidRPr="00C060F9">
        <w:rPr>
          <w:lang w:val="en-GB"/>
        </w:rPr>
        <w:t>———.</w:t>
      </w:r>
      <w:r w:rsidR="0005576E" w:rsidRPr="00C060F9">
        <w:rPr>
          <w:lang w:val="en-GB"/>
        </w:rPr>
        <w:t xml:space="preserve"> "National Agreement in Favour of Family, Economy and Employment.” Ministry of Environment and Natural Resources. Mexico, D.F.: 2009</w:t>
      </w:r>
    </w:p>
    <w:p w:rsidR="00F65B1E" w:rsidRPr="00C060F9" w:rsidRDefault="00F65B1E" w:rsidP="00C060F9">
      <w:pPr>
        <w:pStyle w:val="EcoReferenceList"/>
        <w:spacing w:after="240"/>
        <w:rPr>
          <w:lang w:val="en-GB"/>
        </w:rPr>
      </w:pPr>
      <w:r w:rsidRPr="00C060F9">
        <w:rPr>
          <w:lang w:val="en-GB"/>
        </w:rPr>
        <w:t xml:space="preserve">Morris, Craig. “Portugal Reaches 70 Percent Renewable Power.” </w:t>
      </w:r>
      <w:r w:rsidRPr="00C060F9">
        <w:rPr>
          <w:i/>
          <w:lang w:val="en-GB"/>
        </w:rPr>
        <w:t>Renewables International Magazine</w:t>
      </w:r>
      <w:r w:rsidR="00DF696C" w:rsidRPr="00C060F9">
        <w:rPr>
          <w:lang w:val="en-GB"/>
        </w:rPr>
        <w:t>. April 8, 2013.</w:t>
      </w:r>
      <w:r w:rsidRPr="00C060F9">
        <w:rPr>
          <w:lang w:val="en-GB"/>
        </w:rPr>
        <w:t xml:space="preserve"> http://www.renewablesinternational.net/portugal-reaches-70-percent-renewable-power/150/537/61809/.</w:t>
      </w:r>
    </w:p>
    <w:p w:rsidR="00BD0538" w:rsidRPr="00C060F9" w:rsidRDefault="00BD0538" w:rsidP="00C060F9">
      <w:pPr>
        <w:pStyle w:val="EcoReferenceList"/>
        <w:spacing w:after="240"/>
        <w:rPr>
          <w:lang w:val="en-GB"/>
        </w:rPr>
      </w:pPr>
      <w:r w:rsidRPr="00C060F9">
        <w:rPr>
          <w:lang w:val="en-GB"/>
        </w:rPr>
        <w:t xml:space="preserve">Muro, Mark, Jonathan Rothwell, and Devashree Saha. </w:t>
      </w:r>
      <w:r w:rsidRPr="00C060F9">
        <w:rPr>
          <w:i/>
          <w:iCs/>
          <w:lang w:val="en-GB"/>
        </w:rPr>
        <w:t>Sizing the Clean Economy: A National and Regional Green Jobs Assessment</w:t>
      </w:r>
      <w:r w:rsidRPr="00C060F9">
        <w:rPr>
          <w:lang w:val="en-GB"/>
        </w:rPr>
        <w:t>. Washington, D.C.: The Brookings Institution, July 2011. http://www.brookings.edu/research/reports/2011/07/13-clean-economy.</w:t>
      </w:r>
    </w:p>
    <w:p w:rsidR="00BD0538" w:rsidRPr="00116494" w:rsidRDefault="00BD0538" w:rsidP="00C060F9">
      <w:pPr>
        <w:pStyle w:val="EcoReferenceList"/>
        <w:spacing w:after="240"/>
        <w:rPr>
          <w:lang w:val="de-DE"/>
        </w:rPr>
      </w:pPr>
      <w:r w:rsidRPr="00116494">
        <w:rPr>
          <w:lang w:val="de-DE"/>
        </w:rPr>
        <w:t xml:space="preserve">O’Sullivan, Marlene, Dietmar Edler, Peter Bickel, Ulrike Lehr, Frank Peter, and Fabian Sakowski. </w:t>
      </w:r>
      <w:r w:rsidRPr="00116494">
        <w:rPr>
          <w:i/>
          <w:iCs/>
          <w:lang w:val="de-DE"/>
        </w:rPr>
        <w:t>Bruttobeschäftigung Durch Erneuerbare Energien in Deutschland Im Jahr 2012</w:t>
      </w:r>
      <w:r w:rsidRPr="00116494">
        <w:rPr>
          <w:lang w:val="de-DE"/>
        </w:rPr>
        <w:t>. Berlin: Bundesministerium für Umwelt, Naturschutz und Reaktorsicherheit (BMU), March 2013.</w:t>
      </w:r>
    </w:p>
    <w:p w:rsidR="00314953" w:rsidRPr="00C060F9" w:rsidRDefault="00314953" w:rsidP="00C060F9">
      <w:pPr>
        <w:pStyle w:val="EcoReferenceList"/>
        <w:spacing w:after="240"/>
        <w:rPr>
          <w:lang w:val="en-GB"/>
        </w:rPr>
      </w:pPr>
      <w:r w:rsidRPr="00116494">
        <w:rPr>
          <w:lang w:val="de-DE"/>
        </w:rPr>
        <w:t xml:space="preserve">OECD. </w:t>
      </w:r>
      <w:r w:rsidRPr="00C060F9">
        <w:rPr>
          <w:lang w:val="en-GB"/>
        </w:rPr>
        <w:t>“Consumption, Innovation and the Environment: Indicator of Environmental Technologies (ENV-Tech Indicator).” 2014. http://www.oecd.org/env/consumption-innovation/indicator.htm.</w:t>
      </w:r>
    </w:p>
    <w:p w:rsidR="00BD0538" w:rsidRPr="00C060F9" w:rsidRDefault="00314953" w:rsidP="00C060F9">
      <w:pPr>
        <w:pStyle w:val="EcoReferenceList"/>
        <w:spacing w:after="240"/>
        <w:rPr>
          <w:lang w:val="en-GB"/>
        </w:rPr>
      </w:pPr>
      <w:r w:rsidRPr="00C060F9">
        <w:rPr>
          <w:lang w:val="en-GB"/>
        </w:rPr>
        <w:t>———.</w:t>
      </w:r>
      <w:r w:rsidR="00BD0538" w:rsidRPr="00C060F9">
        <w:rPr>
          <w:lang w:val="en-GB"/>
        </w:rPr>
        <w:t xml:space="preserve"> </w:t>
      </w:r>
      <w:r w:rsidR="00BD0538" w:rsidRPr="00C060F9">
        <w:rPr>
          <w:i/>
          <w:iCs/>
          <w:lang w:val="en-GB"/>
        </w:rPr>
        <w:t>Energy and Climate Policy: Bending the Technological Trajectory</w:t>
      </w:r>
      <w:r w:rsidR="00BD0538" w:rsidRPr="00C060F9">
        <w:rPr>
          <w:lang w:val="en-GB"/>
        </w:rPr>
        <w:t xml:space="preserve">. </w:t>
      </w:r>
      <w:r w:rsidR="003F56C2" w:rsidRPr="00C060F9">
        <w:rPr>
          <w:lang w:val="en-GB"/>
        </w:rPr>
        <w:t xml:space="preserve">Organisation for Economic Co-operation and Development, Paris: </w:t>
      </w:r>
      <w:r w:rsidR="00BD0538" w:rsidRPr="00C060F9">
        <w:rPr>
          <w:lang w:val="en-GB"/>
        </w:rPr>
        <w:t>2012. http://dx.doi.org/10.1787/9789264174573-en.</w:t>
      </w:r>
    </w:p>
    <w:p w:rsidR="00BD0538" w:rsidRPr="00C060F9" w:rsidRDefault="00BD0538" w:rsidP="00C060F9">
      <w:pPr>
        <w:pStyle w:val="EcoReferenceList"/>
        <w:spacing w:after="240"/>
        <w:rPr>
          <w:lang w:val="en-GB"/>
        </w:rPr>
      </w:pPr>
      <w:r w:rsidRPr="00C060F9">
        <w:rPr>
          <w:lang w:val="en-GB"/>
        </w:rPr>
        <w:t xml:space="preserve">———. </w:t>
      </w:r>
      <w:r w:rsidRPr="00C060F9">
        <w:rPr>
          <w:i/>
          <w:iCs/>
          <w:lang w:val="en-GB"/>
        </w:rPr>
        <w:t>OECD Environmental Performance Reviews: Germany 2012</w:t>
      </w:r>
      <w:r w:rsidRPr="00C060F9">
        <w:rPr>
          <w:lang w:val="en-GB"/>
        </w:rPr>
        <w:t xml:space="preserve">. Organisation for Economic Co-operation and Development, </w:t>
      </w:r>
      <w:r w:rsidR="003F56C2" w:rsidRPr="00C060F9">
        <w:rPr>
          <w:lang w:val="en-GB"/>
        </w:rPr>
        <w:t xml:space="preserve">Paris: </w:t>
      </w:r>
      <w:r w:rsidRPr="00C060F9">
        <w:rPr>
          <w:lang w:val="en-GB"/>
        </w:rPr>
        <w:t>2012. http://www.oecd-ilibrary.org/content/book/9789264169302-en.</w:t>
      </w:r>
    </w:p>
    <w:p w:rsidR="005A083D" w:rsidRPr="00C060F9" w:rsidRDefault="005A083D" w:rsidP="00C060F9">
      <w:pPr>
        <w:pStyle w:val="EcoReferenceList"/>
        <w:spacing w:after="240"/>
        <w:rPr>
          <w:lang w:val="en-GB"/>
        </w:rPr>
      </w:pPr>
      <w:r w:rsidRPr="00C060F9">
        <w:rPr>
          <w:lang w:val="en-GB"/>
        </w:rPr>
        <w:t xml:space="preserve">———. </w:t>
      </w:r>
      <w:r w:rsidRPr="00C060F9">
        <w:rPr>
          <w:i/>
          <w:iCs/>
          <w:lang w:val="en-GB"/>
        </w:rPr>
        <w:t>OECD Environmental Performance Reviews: Italy 2013</w:t>
      </w:r>
      <w:r w:rsidRPr="00C060F9">
        <w:rPr>
          <w:lang w:val="en-GB"/>
        </w:rPr>
        <w:t xml:space="preserve">. </w:t>
      </w:r>
      <w:r w:rsidR="003F56C2" w:rsidRPr="00C060F9">
        <w:rPr>
          <w:lang w:val="en-GB"/>
        </w:rPr>
        <w:t>Organisation for Economic Co-operation and Development, Paris:</w:t>
      </w:r>
      <w:r w:rsidRPr="00C060F9">
        <w:rPr>
          <w:lang w:val="en-GB"/>
        </w:rPr>
        <w:t xml:space="preserve"> 2013. http://www.oecd-ilibrary.org/content/book/9789264186378-en</w:t>
      </w:r>
    </w:p>
    <w:p w:rsidR="00D86F54" w:rsidRPr="00C060F9" w:rsidRDefault="00D86F54" w:rsidP="00C060F9">
      <w:pPr>
        <w:pStyle w:val="EcoReferenceList"/>
        <w:spacing w:after="240"/>
        <w:rPr>
          <w:lang w:val="en-GB"/>
        </w:rPr>
      </w:pPr>
      <w:r w:rsidRPr="00C060F9">
        <w:rPr>
          <w:lang w:val="en-GB"/>
        </w:rPr>
        <w:t xml:space="preserve">———. </w:t>
      </w:r>
      <w:r w:rsidRPr="00C060F9">
        <w:rPr>
          <w:i/>
          <w:iCs/>
          <w:lang w:val="en-GB"/>
        </w:rPr>
        <w:t>OECD Environmental Performance Reviews: Mexico 2013</w:t>
      </w:r>
      <w:r w:rsidRPr="00C060F9">
        <w:rPr>
          <w:lang w:val="en-GB"/>
        </w:rPr>
        <w:t xml:space="preserve">. </w:t>
      </w:r>
      <w:r w:rsidR="003F56C2" w:rsidRPr="00C060F9">
        <w:rPr>
          <w:lang w:val="en-GB"/>
        </w:rPr>
        <w:t>Organisation for Economic Co-operation and Development, Paris:</w:t>
      </w:r>
      <w:r w:rsidRPr="00C060F9">
        <w:rPr>
          <w:lang w:val="en-GB"/>
        </w:rPr>
        <w:t xml:space="preserve"> 2013. http://www.oecd-ilibrary.org/content/book/9789264180109-en</w:t>
      </w:r>
    </w:p>
    <w:p w:rsidR="00314953" w:rsidRPr="00C060F9" w:rsidRDefault="00BD0538" w:rsidP="00C060F9">
      <w:pPr>
        <w:pStyle w:val="EcoReferenceList"/>
        <w:spacing w:after="240"/>
        <w:rPr>
          <w:lang w:val="en-GB"/>
        </w:rPr>
      </w:pPr>
      <w:r w:rsidRPr="00C060F9">
        <w:rPr>
          <w:lang w:val="en-GB"/>
        </w:rPr>
        <w:t xml:space="preserve">———. </w:t>
      </w:r>
      <w:r w:rsidRPr="00C060F9">
        <w:rPr>
          <w:i/>
          <w:iCs/>
          <w:lang w:val="en-GB"/>
        </w:rPr>
        <w:t>OECD Environmental Performance Reviews: Portugal 2011</w:t>
      </w:r>
      <w:r w:rsidRPr="00C060F9">
        <w:rPr>
          <w:lang w:val="en-GB"/>
        </w:rPr>
        <w:t xml:space="preserve">. </w:t>
      </w:r>
      <w:r w:rsidR="003F56C2" w:rsidRPr="00C060F9">
        <w:rPr>
          <w:lang w:val="en-GB"/>
        </w:rPr>
        <w:t>Organisation for Economic Co-operation and Development, Paris:</w:t>
      </w:r>
      <w:r w:rsidRPr="00C060F9">
        <w:rPr>
          <w:lang w:val="en-GB"/>
        </w:rPr>
        <w:t xml:space="preserve"> 2011. http://www.oecd-ilibrary.org/content/book/9789264097896-en.</w:t>
      </w:r>
    </w:p>
    <w:p w:rsidR="00BD0538" w:rsidRPr="00C060F9" w:rsidRDefault="00BD0538" w:rsidP="00C060F9">
      <w:pPr>
        <w:pStyle w:val="EcoReferenceList"/>
        <w:spacing w:after="240"/>
        <w:rPr>
          <w:lang w:val="en-GB"/>
        </w:rPr>
      </w:pPr>
      <w:r w:rsidRPr="00C060F9">
        <w:rPr>
          <w:lang w:val="en-GB"/>
        </w:rPr>
        <w:t xml:space="preserve">Pew Environment Group. </w:t>
      </w:r>
      <w:r w:rsidRPr="00C060F9">
        <w:rPr>
          <w:i/>
          <w:iCs/>
          <w:lang w:val="en-GB"/>
        </w:rPr>
        <w:t>Who’s Winning the Clean Energy Race? 2012</w:t>
      </w:r>
      <w:r w:rsidRPr="00C060F9">
        <w:rPr>
          <w:lang w:val="en-GB"/>
        </w:rPr>
        <w:t>. The Pew Charitable Trusts, 2013. http://www.pewenvironment.org/uploadedFiles/PEG/Publications/Report/-clenG20-Report-2012-Digital.pdf.</w:t>
      </w:r>
    </w:p>
    <w:p w:rsidR="00026D98" w:rsidRPr="00C060F9" w:rsidRDefault="00026D98" w:rsidP="00C060F9">
      <w:pPr>
        <w:pStyle w:val="EcoReferenceList"/>
        <w:spacing w:after="240"/>
        <w:rPr>
          <w:lang w:val="en-GB"/>
        </w:rPr>
      </w:pPr>
      <w:r w:rsidRPr="00C060F9">
        <w:rPr>
          <w:lang w:val="en-GB"/>
        </w:rPr>
        <w:t xml:space="preserve">REN21 (Renewable Energy Policy </w:t>
      </w:r>
      <w:r w:rsidR="00FC3A8B">
        <w:rPr>
          <w:lang w:val="en-GB"/>
        </w:rPr>
        <w:t xml:space="preserve">Network for the 21st Century). </w:t>
      </w:r>
      <w:r w:rsidRPr="00FC3A8B">
        <w:rPr>
          <w:i/>
          <w:lang w:val="en-GB"/>
        </w:rPr>
        <w:t>Renew</w:t>
      </w:r>
      <w:r w:rsidR="00FC3A8B" w:rsidRPr="00FC3A8B">
        <w:rPr>
          <w:i/>
          <w:lang w:val="en-GB"/>
        </w:rPr>
        <w:t>ables 2013 Global Status Report</w:t>
      </w:r>
      <w:r w:rsidRPr="00C060F9">
        <w:rPr>
          <w:lang w:val="en-GB"/>
        </w:rPr>
        <w:t>. Paris (REN21 Secretariat)</w:t>
      </w:r>
      <w:r w:rsidR="003F56C2" w:rsidRPr="00C060F9">
        <w:rPr>
          <w:lang w:val="en-GB"/>
        </w:rPr>
        <w:t>:</w:t>
      </w:r>
      <w:r w:rsidRPr="00C060F9">
        <w:rPr>
          <w:lang w:val="en-GB"/>
        </w:rPr>
        <w:t xml:space="preserve"> </w:t>
      </w:r>
      <w:r w:rsidR="003F56C2" w:rsidRPr="00C060F9">
        <w:rPr>
          <w:lang w:val="en-GB"/>
        </w:rPr>
        <w:t xml:space="preserve">2013. </w:t>
      </w:r>
      <w:r w:rsidRPr="00C060F9">
        <w:rPr>
          <w:lang w:val="en-GB"/>
        </w:rPr>
        <w:t>http://www.unep.org/pdf/GSR2013.pdf.</w:t>
      </w:r>
    </w:p>
    <w:p w:rsidR="00DF696C" w:rsidRPr="00116494" w:rsidRDefault="00DF696C" w:rsidP="00C060F9">
      <w:pPr>
        <w:pStyle w:val="EcoReferenceList"/>
        <w:spacing w:after="240"/>
        <w:rPr>
          <w:lang w:val="de-DE"/>
        </w:rPr>
      </w:pPr>
      <w:r w:rsidRPr="00C060F9">
        <w:rPr>
          <w:lang w:val="en-GB"/>
        </w:rPr>
        <w:t>Robi</w:t>
      </w:r>
      <w:r w:rsidR="003F56C2" w:rsidRPr="00C060F9">
        <w:rPr>
          <w:lang w:val="en-GB"/>
        </w:rPr>
        <w:t>ns, N., R. Clover, and C. Singh.</w:t>
      </w:r>
      <w:r w:rsidRPr="00C060F9">
        <w:rPr>
          <w:lang w:val="en-GB"/>
        </w:rPr>
        <w:t xml:space="preserve"> “A Global Green Recovery? Yes, but in 2010.” </w:t>
      </w:r>
      <w:r w:rsidRPr="00116494">
        <w:rPr>
          <w:lang w:val="de-DE"/>
        </w:rPr>
        <w:t>HSBC Global Research, London</w:t>
      </w:r>
      <w:r w:rsidR="003F56C2" w:rsidRPr="00116494">
        <w:rPr>
          <w:lang w:val="de-DE"/>
        </w:rPr>
        <w:t>: August 2009.</w:t>
      </w:r>
    </w:p>
    <w:p w:rsidR="00BD0538" w:rsidRPr="00C060F9" w:rsidRDefault="00BD0538" w:rsidP="00C060F9">
      <w:pPr>
        <w:pStyle w:val="EcoReferenceList"/>
        <w:spacing w:after="240"/>
        <w:rPr>
          <w:lang w:val="en-GB"/>
        </w:rPr>
      </w:pPr>
      <w:r w:rsidRPr="00116494">
        <w:rPr>
          <w:lang w:val="de-DE"/>
        </w:rPr>
        <w:t xml:space="preserve">Sachverständigenrat für Wirtschaft. “Zeitreihen Für Deutschland.” </w:t>
      </w:r>
      <w:r w:rsidRPr="00C060F9">
        <w:rPr>
          <w:lang w:val="en-GB"/>
        </w:rPr>
        <w:t>Accessed December 18, 2013. http://www.sachverstaendigenrat-wirtschaft.de/zr_deutschland.html#c147.</w:t>
      </w:r>
    </w:p>
    <w:p w:rsidR="00F65B1E" w:rsidRPr="00116494" w:rsidRDefault="00F65B1E" w:rsidP="00C060F9">
      <w:pPr>
        <w:pStyle w:val="EcoReferenceList"/>
        <w:spacing w:after="240"/>
        <w:rPr>
          <w:lang w:val="de-DE"/>
        </w:rPr>
      </w:pPr>
      <w:r w:rsidRPr="00C060F9">
        <w:rPr>
          <w:lang w:val="en-GB"/>
        </w:rPr>
        <w:t>Szwed, Dariusz, and Beata</w:t>
      </w:r>
      <w:r w:rsidR="00FC3A8B">
        <w:rPr>
          <w:lang w:val="en-GB"/>
        </w:rPr>
        <w:t xml:space="preserve"> Maciejewska. 2012. </w:t>
      </w:r>
      <w:r w:rsidRPr="00FC3A8B">
        <w:rPr>
          <w:i/>
          <w:lang w:val="en-GB"/>
        </w:rPr>
        <w:t>Green Jobs in P</w:t>
      </w:r>
      <w:r w:rsidR="00FC3A8B" w:rsidRPr="00FC3A8B">
        <w:rPr>
          <w:i/>
          <w:lang w:val="en-GB"/>
        </w:rPr>
        <w:t>oland: Potentials and Prospects</w:t>
      </w:r>
      <w:r w:rsidRPr="00C060F9">
        <w:rPr>
          <w:lang w:val="en-GB"/>
        </w:rPr>
        <w:t xml:space="preserve">. </w:t>
      </w:r>
      <w:r w:rsidRPr="00116494">
        <w:rPr>
          <w:lang w:val="de-DE"/>
        </w:rPr>
        <w:t>Friedrich Ebert Stiftung. http://www.fes-asia.org/media/publication/2012_GreenJobsInPoland_FES-EoT_Study_Szweed_Maciejewska.pdf.</w:t>
      </w:r>
    </w:p>
    <w:p w:rsidR="00BD0538" w:rsidRPr="00C060F9" w:rsidRDefault="00314953" w:rsidP="00C060F9">
      <w:pPr>
        <w:pStyle w:val="EcoReferenceList"/>
        <w:spacing w:after="240"/>
        <w:rPr>
          <w:lang w:val="en-GB"/>
        </w:rPr>
      </w:pPr>
      <w:r w:rsidRPr="00C060F9">
        <w:rPr>
          <w:lang w:val="en-GB"/>
        </w:rPr>
        <w:t>U.</w:t>
      </w:r>
      <w:r w:rsidR="00BD0538" w:rsidRPr="00C060F9">
        <w:rPr>
          <w:lang w:val="en-GB"/>
        </w:rPr>
        <w:t>K. Department for Business Innovation &amp; Skills. 2012. “Low Carbon and Environmental Goods and Services (LCEGS) 2010/11: Underlying Data for Low Carbon and Environmental Goods and Services Industry Analysis 2010-11.” http://webarchive.nationalarchives.gov.uk/+/http://www.bis.gov.uk/policies/business-sectors/green-economy/market-intelligence/market-data.</w:t>
      </w:r>
    </w:p>
    <w:p w:rsidR="00BD0538" w:rsidRPr="00C060F9" w:rsidRDefault="00BD0538" w:rsidP="00C060F9">
      <w:pPr>
        <w:pStyle w:val="EcoReferenceList"/>
        <w:spacing w:after="240"/>
        <w:rPr>
          <w:lang w:val="en-GB"/>
        </w:rPr>
      </w:pPr>
      <w:r w:rsidRPr="00C060F9">
        <w:rPr>
          <w:lang w:val="en-GB"/>
        </w:rPr>
        <w:t>———.</w:t>
      </w:r>
      <w:r w:rsidR="00C060F9">
        <w:rPr>
          <w:lang w:val="en-GB"/>
        </w:rPr>
        <w:t xml:space="preserve"> </w:t>
      </w:r>
      <w:r w:rsidRPr="00FC3A8B">
        <w:rPr>
          <w:i/>
          <w:lang w:val="en-GB"/>
        </w:rPr>
        <w:t>Low Carbon and Environmental Goods and Servic</w:t>
      </w:r>
      <w:r w:rsidR="00FC3A8B" w:rsidRPr="00FC3A8B">
        <w:rPr>
          <w:i/>
          <w:lang w:val="en-GB"/>
        </w:rPr>
        <w:t>es (LCEGS) Report for 2007/2008</w:t>
      </w:r>
      <w:r w:rsidRPr="00C060F9">
        <w:rPr>
          <w:lang w:val="en-GB"/>
        </w:rPr>
        <w:t>. United Kingdom: United Kingdom government.</w:t>
      </w:r>
      <w:r w:rsidR="00314953" w:rsidRPr="00C060F9">
        <w:rPr>
          <w:lang w:val="en-GB"/>
        </w:rPr>
        <w:t xml:space="preserve"> 2009.</w:t>
      </w:r>
    </w:p>
    <w:p w:rsidR="00BD0538" w:rsidRPr="00C060F9" w:rsidRDefault="00BD0538" w:rsidP="00C060F9">
      <w:pPr>
        <w:pStyle w:val="EcoReferenceList"/>
        <w:spacing w:after="240"/>
        <w:rPr>
          <w:lang w:val="en-GB"/>
        </w:rPr>
      </w:pPr>
      <w:r w:rsidRPr="00C060F9">
        <w:rPr>
          <w:lang w:val="en-GB"/>
        </w:rPr>
        <w:t>———.</w:t>
      </w:r>
      <w:r w:rsidR="00C060F9">
        <w:rPr>
          <w:lang w:val="en-GB"/>
        </w:rPr>
        <w:t xml:space="preserve"> </w:t>
      </w:r>
      <w:r w:rsidRPr="00FC3A8B">
        <w:rPr>
          <w:i/>
          <w:lang w:val="en-GB"/>
        </w:rPr>
        <w:t>Low Carbon and Environmental Goods and Services (LCEGS) Report for 2008/</w:t>
      </w:r>
      <w:r w:rsidR="00FC3A8B" w:rsidRPr="00FC3A8B">
        <w:rPr>
          <w:i/>
          <w:lang w:val="en-GB"/>
        </w:rPr>
        <w:t>2009</w:t>
      </w:r>
      <w:r w:rsidRPr="00C060F9">
        <w:rPr>
          <w:lang w:val="en-GB"/>
        </w:rPr>
        <w:t>. United Kingdom: United Kingdom government.</w:t>
      </w:r>
      <w:r w:rsidR="00314953" w:rsidRPr="00C060F9">
        <w:rPr>
          <w:lang w:val="en-GB"/>
        </w:rPr>
        <w:t xml:space="preserve"> 2010.</w:t>
      </w:r>
    </w:p>
    <w:p w:rsidR="00BD0538" w:rsidRPr="00C060F9" w:rsidRDefault="00BD0538" w:rsidP="00C060F9">
      <w:pPr>
        <w:pStyle w:val="EcoReferenceList"/>
        <w:spacing w:after="240"/>
        <w:rPr>
          <w:lang w:val="en-GB"/>
        </w:rPr>
      </w:pPr>
      <w:r w:rsidRPr="00C060F9">
        <w:rPr>
          <w:lang w:val="en-GB"/>
        </w:rPr>
        <w:t>———.</w:t>
      </w:r>
      <w:r w:rsidR="00C060F9">
        <w:rPr>
          <w:lang w:val="en-GB"/>
        </w:rPr>
        <w:t xml:space="preserve"> </w:t>
      </w:r>
      <w:r w:rsidRPr="00FC3A8B">
        <w:rPr>
          <w:i/>
          <w:lang w:val="en-GB"/>
        </w:rPr>
        <w:t>Low Carbon and Environmental Goods and Servic</w:t>
      </w:r>
      <w:r w:rsidR="00FC3A8B" w:rsidRPr="00FC3A8B">
        <w:rPr>
          <w:i/>
          <w:lang w:val="en-GB"/>
        </w:rPr>
        <w:t>es (LCEGS) Report for 2009/2010</w:t>
      </w:r>
      <w:r w:rsidRPr="00FC3A8B">
        <w:rPr>
          <w:i/>
          <w:lang w:val="en-GB"/>
        </w:rPr>
        <w:t>.</w:t>
      </w:r>
      <w:r w:rsidRPr="00C060F9">
        <w:rPr>
          <w:lang w:val="en-GB"/>
        </w:rPr>
        <w:t xml:space="preserve"> United Kingdom: United Kingdom government.</w:t>
      </w:r>
      <w:r w:rsidR="00314953" w:rsidRPr="00C060F9">
        <w:rPr>
          <w:lang w:val="en-GB"/>
        </w:rPr>
        <w:t xml:space="preserve"> 2011.</w:t>
      </w:r>
    </w:p>
    <w:p w:rsidR="00BD0538" w:rsidRPr="00C060F9" w:rsidRDefault="00BD0538" w:rsidP="00C060F9">
      <w:pPr>
        <w:pStyle w:val="EcoReferenceList"/>
        <w:spacing w:after="240"/>
        <w:rPr>
          <w:lang w:val="en-GB"/>
        </w:rPr>
      </w:pPr>
      <w:r w:rsidRPr="00C060F9">
        <w:rPr>
          <w:lang w:val="en-GB"/>
        </w:rPr>
        <w:t>———.</w:t>
      </w:r>
      <w:r w:rsidR="00C060F9">
        <w:rPr>
          <w:lang w:val="en-GB"/>
        </w:rPr>
        <w:t xml:space="preserve"> </w:t>
      </w:r>
      <w:r w:rsidRPr="00FC3A8B">
        <w:rPr>
          <w:i/>
          <w:lang w:val="en-GB"/>
        </w:rPr>
        <w:t>Low Carbon and Environmental Goods and Services (LCEGS) Repo</w:t>
      </w:r>
      <w:r w:rsidR="00FC3A8B" w:rsidRPr="00FC3A8B">
        <w:rPr>
          <w:i/>
          <w:lang w:val="en-GB"/>
        </w:rPr>
        <w:t>rt for 2010/2011</w:t>
      </w:r>
      <w:r w:rsidRPr="00C060F9">
        <w:rPr>
          <w:lang w:val="en-GB"/>
        </w:rPr>
        <w:t>. United Kingdom: United Kingdom government.</w:t>
      </w:r>
      <w:r w:rsidR="00314953" w:rsidRPr="00C060F9">
        <w:rPr>
          <w:lang w:val="en-GB"/>
        </w:rPr>
        <w:t xml:space="preserve"> 2012.</w:t>
      </w:r>
    </w:p>
    <w:p w:rsidR="00BD0538" w:rsidRPr="00C060F9" w:rsidRDefault="00BD0538" w:rsidP="00C060F9">
      <w:pPr>
        <w:pStyle w:val="EcoReferenceList"/>
        <w:spacing w:after="240"/>
        <w:rPr>
          <w:lang w:val="en-GB"/>
        </w:rPr>
      </w:pPr>
      <w:r w:rsidRPr="00C060F9">
        <w:rPr>
          <w:lang w:val="en-GB"/>
        </w:rPr>
        <w:t>———.</w:t>
      </w:r>
      <w:r w:rsidR="00FC3A8B">
        <w:rPr>
          <w:lang w:val="en-GB"/>
        </w:rPr>
        <w:t xml:space="preserve"> </w:t>
      </w:r>
      <w:r w:rsidRPr="00FC3A8B">
        <w:rPr>
          <w:i/>
          <w:lang w:val="en-GB"/>
        </w:rPr>
        <w:t>Low Carbon and Environmental Goods and Servic</w:t>
      </w:r>
      <w:r w:rsidR="00FC3A8B" w:rsidRPr="00FC3A8B">
        <w:rPr>
          <w:i/>
          <w:lang w:val="en-GB"/>
        </w:rPr>
        <w:t>es (LCEGS) Report for 2011/2012</w:t>
      </w:r>
      <w:r w:rsidRPr="00FC3A8B">
        <w:rPr>
          <w:i/>
          <w:lang w:val="en-GB"/>
        </w:rPr>
        <w:t>.</w:t>
      </w:r>
      <w:r w:rsidRPr="00C060F9">
        <w:rPr>
          <w:lang w:val="en-GB"/>
        </w:rPr>
        <w:t xml:space="preserve"> United Kingdom: United Kingdom government. </w:t>
      </w:r>
      <w:r w:rsidR="00793540" w:rsidRPr="00C060F9">
        <w:rPr>
          <w:lang w:val="en-GB"/>
        </w:rPr>
        <w:t xml:space="preserve">2013. </w:t>
      </w:r>
      <w:r w:rsidRPr="00C060F9">
        <w:rPr>
          <w:lang w:val="en-GB"/>
        </w:rPr>
        <w:t>https://www.gov.uk/government/uploads/system/uploads/attachment_data/file/224068/bis-13-p143-low-carbon-and-environmental-goods-and-services-report-2011-12.pdf.</w:t>
      </w:r>
      <w:r w:rsidR="00314953" w:rsidRPr="00C060F9">
        <w:rPr>
          <w:lang w:val="en-GB"/>
        </w:rPr>
        <w:t xml:space="preserve"> </w:t>
      </w:r>
    </w:p>
    <w:p w:rsidR="00BA71C5" w:rsidRPr="00C060F9" w:rsidRDefault="00CE2AF0" w:rsidP="00C060F9">
      <w:pPr>
        <w:pStyle w:val="EcoReferenceList"/>
        <w:spacing w:after="240"/>
        <w:rPr>
          <w:lang w:val="en-GB"/>
        </w:rPr>
      </w:pPr>
      <w:r w:rsidRPr="00C060F9">
        <w:rPr>
          <w:rFonts w:cs="MyriadPro-Regular"/>
          <w:lang w:val="en-GB"/>
        </w:rPr>
        <w:t>BLS (</w:t>
      </w:r>
      <w:r w:rsidR="00BA71C5" w:rsidRPr="00C060F9">
        <w:rPr>
          <w:rFonts w:cs="MyriadPro-Regular"/>
          <w:lang w:val="en-GB"/>
        </w:rPr>
        <w:t>United States Bureau of Labor Statistics</w:t>
      </w:r>
      <w:r w:rsidRPr="00C060F9">
        <w:rPr>
          <w:rFonts w:cs="MyriadPro-Regular"/>
          <w:lang w:val="en-GB"/>
        </w:rPr>
        <w:t>)</w:t>
      </w:r>
      <w:r w:rsidR="00FC3A8B">
        <w:rPr>
          <w:rFonts w:cs="MyriadPro-Regular"/>
          <w:lang w:val="en-GB"/>
        </w:rPr>
        <w:t xml:space="preserve">. </w:t>
      </w:r>
      <w:r w:rsidR="00BA71C5" w:rsidRPr="00FC3A8B">
        <w:rPr>
          <w:rFonts w:cs="MyriadPro-Regular"/>
          <w:i/>
          <w:lang w:val="en-GB"/>
        </w:rPr>
        <w:t>Employment i</w:t>
      </w:r>
      <w:r w:rsidR="00FC3A8B" w:rsidRPr="00FC3A8B">
        <w:rPr>
          <w:rFonts w:cs="MyriadPro-Regular"/>
          <w:i/>
          <w:lang w:val="en-GB"/>
        </w:rPr>
        <w:t>n Green Goods and Services—2011</w:t>
      </w:r>
      <w:r w:rsidR="00FC3A8B">
        <w:rPr>
          <w:rFonts w:cs="MyriadPro-Regular"/>
          <w:lang w:val="en-GB"/>
        </w:rPr>
        <w:t>.</w:t>
      </w:r>
      <w:r w:rsidR="00BA71C5" w:rsidRPr="00C060F9">
        <w:rPr>
          <w:rFonts w:cs="MyriadPro-Regular"/>
          <w:lang w:val="en-GB"/>
        </w:rPr>
        <w:t xml:space="preserve"> Washington, D.C.: 2013. available at http://www.bls.gov/news.release/pdf/ggqcew.pdf</w:t>
      </w:r>
    </w:p>
    <w:p w:rsidR="00430709" w:rsidRPr="00C060F9" w:rsidRDefault="00CE2AF0" w:rsidP="00C060F9">
      <w:pPr>
        <w:pStyle w:val="EcoReferenceList"/>
        <w:spacing w:after="240"/>
        <w:rPr>
          <w:lang w:val="en-GB"/>
        </w:rPr>
      </w:pPr>
      <w:r w:rsidRPr="00C060F9">
        <w:rPr>
          <w:lang w:val="en-GB"/>
        </w:rPr>
        <w:t>EIA (</w:t>
      </w:r>
      <w:r w:rsidR="00430709" w:rsidRPr="00C060F9">
        <w:rPr>
          <w:lang w:val="en-GB"/>
        </w:rPr>
        <w:t>United States Energy Information Administration</w:t>
      </w:r>
      <w:r w:rsidRPr="00C060F9">
        <w:rPr>
          <w:lang w:val="en-GB"/>
        </w:rPr>
        <w:t>)</w:t>
      </w:r>
      <w:r w:rsidR="00430709" w:rsidRPr="00C060F9">
        <w:rPr>
          <w:lang w:val="en-GB"/>
        </w:rPr>
        <w:t xml:space="preserve">. “China Consumes Nearly as Much Coal as the Rest of the World Combined.” </w:t>
      </w:r>
      <w:r w:rsidR="00BA71C5" w:rsidRPr="00C060F9">
        <w:rPr>
          <w:rFonts w:cs="MyriadPro-Regular"/>
          <w:lang w:val="en-GB"/>
        </w:rPr>
        <w:t xml:space="preserve">Washington, D.C.: </w:t>
      </w:r>
      <w:r w:rsidR="00430709" w:rsidRPr="00C060F9">
        <w:rPr>
          <w:lang w:val="en-GB"/>
        </w:rPr>
        <w:t>January</w:t>
      </w:r>
      <w:r w:rsidR="00DF696C" w:rsidRPr="00C060F9">
        <w:rPr>
          <w:lang w:val="en-GB"/>
        </w:rPr>
        <w:t xml:space="preserve"> 2013</w:t>
      </w:r>
      <w:r w:rsidR="00430709" w:rsidRPr="00C060F9">
        <w:rPr>
          <w:lang w:val="en-GB"/>
        </w:rPr>
        <w:t>. http://www.eia.gov/todayinenergy/detail.cfm?id=9751&amp;src=email.</w:t>
      </w:r>
    </w:p>
    <w:p w:rsidR="00CE2AF0" w:rsidRPr="00C060F9" w:rsidRDefault="00C060F9" w:rsidP="00C060F9">
      <w:pPr>
        <w:pStyle w:val="EcoReferenceList"/>
        <w:spacing w:after="240"/>
        <w:rPr>
          <w:lang w:val="en-GB"/>
        </w:rPr>
      </w:pPr>
      <w:r w:rsidRPr="00C060F9">
        <w:rPr>
          <w:lang w:val="en-GB"/>
        </w:rPr>
        <w:t>———.</w:t>
      </w:r>
      <w:r w:rsidR="00CE2AF0" w:rsidRPr="00C060F9">
        <w:rPr>
          <w:lang w:val="en-GB"/>
        </w:rPr>
        <w:t xml:space="preserve"> “Short-Term Energy Outlook”. Washington, D.C. 2014. Figure 25.</w:t>
      </w:r>
    </w:p>
    <w:p w:rsidR="00BD0538" w:rsidRPr="00C060F9" w:rsidRDefault="00CE2AF0" w:rsidP="00C060F9">
      <w:pPr>
        <w:pStyle w:val="EcoReferenceList"/>
        <w:spacing w:after="240"/>
        <w:rPr>
          <w:lang w:val="en-GB"/>
        </w:rPr>
      </w:pPr>
      <w:r w:rsidRPr="00C060F9">
        <w:rPr>
          <w:lang w:val="en-GB"/>
        </w:rPr>
        <w:t>EPA (</w:t>
      </w:r>
      <w:r w:rsidR="00BD0538" w:rsidRPr="00C060F9">
        <w:rPr>
          <w:lang w:val="en-GB"/>
        </w:rPr>
        <w:t>United States Environmental Protection Agency</w:t>
      </w:r>
      <w:r w:rsidRPr="00C060F9">
        <w:rPr>
          <w:lang w:val="en-GB"/>
        </w:rPr>
        <w:t>)</w:t>
      </w:r>
      <w:r w:rsidR="00BD0538" w:rsidRPr="00C060F9">
        <w:rPr>
          <w:lang w:val="en-GB"/>
        </w:rPr>
        <w:t xml:space="preserve">. “EPA and NHTSA Set Standards to Reduce Greenhouse Gases and Improve Fuel Economy for Model Years 2017-2025 Cars and Light Trucks,” </w:t>
      </w:r>
      <w:r w:rsidR="00BA71C5" w:rsidRPr="00C060F9">
        <w:rPr>
          <w:rFonts w:cs="MyriadPro-Regular"/>
          <w:lang w:val="en-GB"/>
        </w:rPr>
        <w:t xml:space="preserve">Washington, D.C.: </w:t>
      </w:r>
      <w:r w:rsidR="00BD0538" w:rsidRPr="00C060F9">
        <w:rPr>
          <w:lang w:val="en-GB"/>
        </w:rPr>
        <w:t>August 2012. http://www.epa.gov/otaq/climate/documents/420f12051.pdf.</w:t>
      </w:r>
    </w:p>
    <w:p w:rsidR="00430709" w:rsidRPr="00C060F9" w:rsidRDefault="00EA4FE5" w:rsidP="00C060F9">
      <w:pPr>
        <w:pStyle w:val="EcoReferenceList"/>
        <w:spacing w:after="240"/>
        <w:rPr>
          <w:lang w:val="en-GB"/>
        </w:rPr>
      </w:pPr>
      <w:r w:rsidRPr="00C060F9">
        <w:rPr>
          <w:lang w:val="en-GB"/>
        </w:rPr>
        <w:fldChar w:fldCharType="end"/>
      </w:r>
      <w:r w:rsidR="00430709" w:rsidRPr="00C060F9">
        <w:rPr>
          <w:lang w:val="en-GB"/>
        </w:rPr>
        <w:t xml:space="preserve"> Vaughan, Adam. “China Burns Half of Coal Consumption Worldwide, Figures Show.” </w:t>
      </w:r>
      <w:r w:rsidR="00430709" w:rsidRPr="00C060F9">
        <w:rPr>
          <w:i/>
          <w:iCs/>
          <w:lang w:val="en-GB"/>
        </w:rPr>
        <w:t>The Guardian</w:t>
      </w:r>
      <w:r w:rsidR="00430709" w:rsidRPr="00C060F9">
        <w:rPr>
          <w:lang w:val="en-GB"/>
        </w:rPr>
        <w:t>. January</w:t>
      </w:r>
      <w:r w:rsidR="00DF696C" w:rsidRPr="00C060F9">
        <w:rPr>
          <w:lang w:val="en-GB"/>
        </w:rPr>
        <w:t xml:space="preserve"> 2013</w:t>
      </w:r>
      <w:r w:rsidR="00430709" w:rsidRPr="00C060F9">
        <w:rPr>
          <w:lang w:val="en-GB"/>
        </w:rPr>
        <w:t>. http://www.theguardian.com/environment/2013/jan/30/china-burns-half-coal-worldwide.</w:t>
      </w:r>
    </w:p>
    <w:p w:rsidR="00A3531D" w:rsidRPr="00C060F9" w:rsidRDefault="00A3531D" w:rsidP="00C060F9">
      <w:pPr>
        <w:pStyle w:val="EcoReferenceList"/>
        <w:spacing w:after="240"/>
        <w:rPr>
          <w:lang w:val="en-GB"/>
        </w:rPr>
      </w:pPr>
      <w:r w:rsidRPr="00C060F9">
        <w:rPr>
          <w:lang w:val="en-GB"/>
        </w:rPr>
        <w:t xml:space="preserve">World Bank. </w:t>
      </w:r>
      <w:proofErr w:type="gramStart"/>
      <w:r w:rsidRPr="00C060F9">
        <w:rPr>
          <w:lang w:val="en-GB"/>
        </w:rPr>
        <w:t>Program Information Documentation (PID) Appraisal Stage.</w:t>
      </w:r>
      <w:proofErr w:type="gramEnd"/>
      <w:r w:rsidRPr="00C060F9">
        <w:rPr>
          <w:lang w:val="en-GB"/>
        </w:rPr>
        <w:t xml:space="preserve"> Report No. AB5003. Mexico, D.F.: 2009.</w:t>
      </w:r>
    </w:p>
    <w:p w:rsidR="00C060F9" w:rsidRPr="00C060F9" w:rsidRDefault="00C060F9" w:rsidP="00C060F9">
      <w:pPr>
        <w:pStyle w:val="EcoReferenceList"/>
        <w:spacing w:after="240"/>
      </w:pPr>
      <w:proofErr w:type="gramStart"/>
      <w:r w:rsidRPr="00C060F9">
        <w:t>World Intel</w:t>
      </w:r>
      <w:r w:rsidR="00FC3A8B">
        <w:t>lectual Property Organization.</w:t>
      </w:r>
      <w:proofErr w:type="gramEnd"/>
      <w:r w:rsidR="00FC3A8B">
        <w:t xml:space="preserve"> </w:t>
      </w:r>
      <w:proofErr w:type="gramStart"/>
      <w:r w:rsidRPr="00FC3A8B">
        <w:rPr>
          <w:i/>
        </w:rPr>
        <w:t>World Intelle</w:t>
      </w:r>
      <w:r w:rsidR="00FC3A8B" w:rsidRPr="00FC3A8B">
        <w:rPr>
          <w:i/>
        </w:rPr>
        <w:t>ctual Property Indicators 2013</w:t>
      </w:r>
      <w:r w:rsidR="00FC3A8B">
        <w:t>.</w:t>
      </w:r>
      <w:proofErr w:type="gramEnd"/>
      <w:r w:rsidRPr="00C060F9">
        <w:t xml:space="preserve"> Geneva: 2013.</w:t>
      </w:r>
    </w:p>
    <w:p w:rsidR="00C060F9" w:rsidRPr="00C060F9" w:rsidRDefault="00C060F9" w:rsidP="00A3531D">
      <w:pPr>
        <w:pStyle w:val="EcoFootnote"/>
        <w:spacing w:after="240"/>
        <w:rPr>
          <w:sz w:val="20"/>
        </w:rPr>
      </w:pPr>
    </w:p>
    <w:p w:rsidR="00026D98" w:rsidRPr="00C060F9" w:rsidRDefault="00EA4FE5" w:rsidP="00026D98">
      <w:pPr>
        <w:pStyle w:val="Bibliography"/>
        <w:rPr>
          <w:rFonts w:cs="Arial"/>
          <w:sz w:val="20"/>
          <w:szCs w:val="20"/>
          <w:lang w:val="en-GB"/>
        </w:rPr>
      </w:pPr>
      <w:r w:rsidRPr="00C060F9">
        <w:rPr>
          <w:sz w:val="20"/>
          <w:szCs w:val="20"/>
          <w:lang w:val="en-GB"/>
        </w:rPr>
        <w:fldChar w:fldCharType="begin"/>
      </w:r>
      <w:r w:rsidR="00026D98" w:rsidRPr="00C060F9">
        <w:rPr>
          <w:sz w:val="20"/>
          <w:szCs w:val="20"/>
          <w:lang w:val="en-GB"/>
        </w:rPr>
        <w:instrText xml:space="preserve"> ADDIN ZOTERO_BIBL {"custom":[]} CSL_BIBLIOGRAPHY </w:instrText>
      </w:r>
      <w:r w:rsidRPr="00C060F9">
        <w:rPr>
          <w:sz w:val="20"/>
          <w:szCs w:val="20"/>
          <w:lang w:val="en-GB"/>
        </w:rPr>
        <w:fldChar w:fldCharType="separate"/>
      </w:r>
    </w:p>
    <w:p w:rsidR="00C32840" w:rsidRPr="00C060F9" w:rsidRDefault="00EA4FE5" w:rsidP="00026D98">
      <w:pPr>
        <w:rPr>
          <w:sz w:val="20"/>
          <w:szCs w:val="20"/>
          <w:lang w:val="en-GB"/>
        </w:rPr>
      </w:pPr>
      <w:r w:rsidRPr="00C060F9">
        <w:rPr>
          <w:sz w:val="20"/>
          <w:szCs w:val="20"/>
          <w:lang w:val="en-GB"/>
        </w:rPr>
        <w:fldChar w:fldCharType="end"/>
      </w:r>
    </w:p>
    <w:sectPr w:rsidR="00C32840" w:rsidRPr="00C060F9" w:rsidSect="00BF64CC">
      <w:footerReference w:type="default" r:id="rId27"/>
      <w:pgSz w:w="11906" w:h="16838"/>
      <w:pgMar w:top="1417" w:right="1417" w:bottom="1134" w:left="1417" w:header="708" w:footer="708" w:gutter="0"/>
      <w:pgNumType w:start="1"/>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139D" w:rsidRDefault="0095139D" w:rsidP="008D1804">
      <w:pPr>
        <w:spacing w:after="360" w:line="240" w:lineRule="auto"/>
      </w:pPr>
      <w:r>
        <w:separator/>
      </w:r>
    </w:p>
  </w:endnote>
  <w:endnote w:type="continuationSeparator" w:id="0">
    <w:p w:rsidR="0095139D" w:rsidRDefault="0095139D" w:rsidP="008D1804">
      <w:pPr>
        <w:spacing w:after="36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Gill Sans MT">
    <w:panose1 w:val="020B0502020104020203"/>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Lucida Grande">
    <w:panose1 w:val="020B0503030404040204"/>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MyriadPro-Regular">
    <w:panose1 w:val="00000000000000000000"/>
    <w:charset w:val="00"/>
    <w:family w:val="swiss"/>
    <w:notTrueType/>
    <w:pitch w:val="default"/>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139D" w:rsidRDefault="0095139D" w:rsidP="008D1804">
    <w:pPr>
      <w:pStyle w:val="Footer"/>
      <w:spacing w:after="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139D" w:rsidRPr="00BD3B04" w:rsidRDefault="0095139D" w:rsidP="008D1804">
    <w:pPr>
      <w:pStyle w:val="Footer"/>
      <w:tabs>
        <w:tab w:val="clear" w:pos="9072"/>
        <w:tab w:val="left" w:pos="6663"/>
      </w:tabs>
      <w:spacing w:after="360"/>
      <w:ind w:right="2409"/>
      <w:jc w:val="left"/>
      <w:rPr>
        <w:rFonts w:ascii="Gill Sans MT" w:hAnsi="Gill Sans MT"/>
        <w:b/>
        <w:color w:val="182983"/>
      </w:rPr>
    </w:pPr>
    <w:r>
      <w:rPr>
        <w:rFonts w:ascii="Gill Sans MT" w:hAnsi="Gill Sans MT"/>
        <w:b/>
        <w:color w:val="182983"/>
      </w:rPr>
      <w:t xml:space="preserve">Ecologic Institute, </w:t>
    </w:r>
    <w:r w:rsidRPr="00BD3B04">
      <w:rPr>
        <w:rFonts w:ascii="Gill Sans MT" w:hAnsi="Gill Sans MT"/>
        <w:b/>
        <w:color w:val="182983"/>
      </w:rPr>
      <w:t>Berlin</w:t>
    </w:r>
    <w:r w:rsidRPr="00BD3B04">
      <w:rPr>
        <w:rFonts w:ascii="Gill Sans MT" w:hAnsi="Gill Sans MT"/>
        <w:b/>
        <w:color w:val="182983"/>
      </w:rPr>
      <w:br/>
    </w:r>
    <w:proofErr w:type="spellStart"/>
    <w:r w:rsidRPr="00BD3B04">
      <w:rPr>
        <w:rFonts w:ascii="Gill Sans MT" w:hAnsi="Gill Sans MT"/>
        <w:b/>
        <w:color w:val="182983"/>
      </w:rPr>
      <w:t>www.ecologic.eu</w:t>
    </w:r>
    <w:proofErr w:type="spellEnd"/>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139D" w:rsidRDefault="0095139D" w:rsidP="008D1804">
    <w:pPr>
      <w:pStyle w:val="Footer"/>
      <w:spacing w:after="360"/>
    </w:pPr>
  </w:p>
</w:ftr>
</file>

<file path=word/footer4.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139D" w:rsidRPr="00DF5244" w:rsidRDefault="0095139D" w:rsidP="008D1804">
    <w:pPr>
      <w:pStyle w:val="Footer"/>
      <w:spacing w:after="360"/>
      <w:rPr>
        <w:szCs w:val="20"/>
      </w:rPr>
    </w:pPr>
  </w:p>
</w:ftr>
</file>

<file path=word/footer5.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139D" w:rsidRPr="006721F6" w:rsidRDefault="0095139D" w:rsidP="008D1804">
    <w:pPr>
      <w:pStyle w:val="EcoPagenumber"/>
    </w:pPr>
    <w:fldSimple w:instr=" PAGE   \* MERGEFORMAT ">
      <w:r w:rsidR="00503F5D">
        <w:rPr>
          <w:noProof/>
        </w:rPr>
        <w:t>i</w:t>
      </w:r>
    </w:fldSimple>
  </w:p>
</w:ftr>
</file>

<file path=word/footer6.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139D" w:rsidRPr="00E47217" w:rsidRDefault="0095139D" w:rsidP="008D1804">
    <w:pPr>
      <w:pStyle w:val="Footer"/>
      <w:jc w:val="center"/>
    </w:pPr>
    <w:fldSimple w:instr=" PAGE   \* MERGEFORMAT ">
      <w:r w:rsidR="00503F5D" w:rsidRPr="00503F5D">
        <w:rPr>
          <w:rFonts w:ascii="Gill Sans MT" w:hAnsi="Gill Sans MT"/>
          <w:noProof/>
          <w:sz w:val="20"/>
          <w:szCs w:val="20"/>
        </w:rPr>
        <w:t>1</w:t>
      </w:r>
    </w:fldSimple>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139D" w:rsidRDefault="0095139D" w:rsidP="008D1804">
      <w:pPr>
        <w:spacing w:after="360" w:line="240" w:lineRule="auto"/>
      </w:pPr>
      <w:r>
        <w:separator/>
      </w:r>
    </w:p>
  </w:footnote>
  <w:footnote w:type="continuationSeparator" w:id="0">
    <w:p w:rsidR="0095139D" w:rsidRDefault="0095139D" w:rsidP="008D1804">
      <w:pPr>
        <w:spacing w:after="360" w:line="240" w:lineRule="auto"/>
      </w:pPr>
      <w:r>
        <w:continuationSeparator/>
      </w:r>
    </w:p>
  </w:footnote>
  <w:footnote w:id="1">
    <w:p w:rsidR="0095139D" w:rsidRDefault="0095139D" w:rsidP="00FC3A8B">
      <w:pPr>
        <w:pStyle w:val="EcoFootnote"/>
        <w:spacing w:after="240"/>
      </w:pPr>
      <w:r w:rsidRPr="008011EA">
        <w:rPr>
          <w:rStyle w:val="FootnoteReference"/>
        </w:rPr>
        <w:footnoteRef/>
      </w:r>
      <w:r>
        <w:t xml:space="preserve"> </w:t>
      </w:r>
      <w:r>
        <w:fldChar w:fldCharType="begin"/>
      </w:r>
      <w:r>
        <w:instrText xml:space="preserve"> ADDIN ZOTERO_ITEM CSL_CITATION {"citationID":"FmBY3Ohq","properties":{"formattedCitation":"{\\rtf Bilsen and Rademaekers, \\i Study on the Competitiveness of the EU Eco-industry\\i0{}.}","plainCitation":"Bilsen and Rademaekers, Study on the Competitiveness of the EU Eco-industry."},"citationItems":[{"id":4347,"uris":["http://zotero.org/groups/9857/items/KJ96AGX2"],"uri":["http://zotero.org/groups/9857/items/KJ96AGX2"],"itemData":{"id":4347,"type":"report","title":"Study on the Competitiveness of the EU eco-industry","publisher":"Ecorys","publisher-place":"Brussels","event-place":"Brussels","URL":"http://ec.europa.eu/enterprise/newsroom/cf/_getdocument.cfm?doc_id=5416","author":[{"family":"Bilsen","given":"Dr. Valentijn"},{"family":"Rademaekers","given":"Koen"}],"issued":{"date-parts":[["2009",10,22]]}}}],"schema":"https://github.com/citation-style-language/schema/raw/master/csl-citation.json"} </w:instrText>
      </w:r>
      <w:r>
        <w:fldChar w:fldCharType="separate"/>
      </w:r>
      <w:r w:rsidRPr="00B174D1">
        <w:rPr>
          <w:rFonts w:eastAsia="Times New Roman"/>
        </w:rPr>
        <w:t xml:space="preserve">Bilsen and Rademaekers, </w:t>
      </w:r>
      <w:r w:rsidRPr="00B174D1">
        <w:rPr>
          <w:rFonts w:eastAsia="Times New Roman"/>
          <w:i/>
          <w:iCs/>
        </w:rPr>
        <w:t>Study on the Competitiveness of the EU Eco-industry</w:t>
      </w:r>
      <w:r w:rsidRPr="00B174D1">
        <w:rPr>
          <w:rFonts w:eastAsia="Times New Roman"/>
        </w:rPr>
        <w:t>.</w:t>
      </w:r>
      <w:r>
        <w:fldChar w:fldCharType="end"/>
      </w:r>
    </w:p>
  </w:footnote>
  <w:footnote w:id="2">
    <w:p w:rsidR="0095139D" w:rsidRPr="009B5354" w:rsidRDefault="0095139D" w:rsidP="00E00063">
      <w:pPr>
        <w:pStyle w:val="EcoFootnote"/>
        <w:spacing w:after="240"/>
      </w:pPr>
      <w:r w:rsidRPr="008011EA">
        <w:rPr>
          <w:rStyle w:val="FootnoteReference"/>
        </w:rPr>
        <w:footnoteRef/>
      </w:r>
      <w:r>
        <w:t xml:space="preserve"> The methodology is set out in:</w:t>
      </w:r>
      <w:r>
        <w:tab/>
        <w:t xml:space="preserve"> </w:t>
      </w:r>
      <w:r w:rsidRPr="00FC3A8B">
        <w:rPr>
          <w:i/>
        </w:rPr>
        <w:t>Low carbon and environmental goods and services: an industry analysis</w:t>
      </w:r>
      <w:r>
        <w:t xml:space="preserve">, 2009, </w:t>
      </w:r>
      <w:r w:rsidRPr="00557E18">
        <w:t>http://www.bis.gov.uk/assets/biscore/business-sectors/docs/l/09-570-low-carbon-environmental-industry-analysis.pdf</w:t>
      </w:r>
    </w:p>
  </w:footnote>
  <w:footnote w:id="3">
    <w:p w:rsidR="0095139D" w:rsidRPr="007942FA" w:rsidRDefault="0095139D" w:rsidP="00FC3A8B">
      <w:pPr>
        <w:pStyle w:val="EcoFootnote"/>
        <w:spacing w:after="240"/>
      </w:pPr>
      <w:r w:rsidRPr="008011EA">
        <w:rPr>
          <w:rStyle w:val="FootnoteReference"/>
        </w:rPr>
        <w:footnoteRef/>
      </w:r>
      <w:r w:rsidRPr="00AB660D">
        <w:t xml:space="preserve"> </w:t>
      </w:r>
      <w:r w:rsidRPr="00FC3A8B">
        <w:rPr>
          <w:i/>
        </w:rPr>
        <w:t>Study on the Competitiveness of the EU eco-industry</w:t>
      </w:r>
      <w:r>
        <w:t>.</w:t>
      </w:r>
      <w:r w:rsidRPr="00AB660D">
        <w:t xml:space="preserve"> DG Enterprise and Industry, 2009, page 122-123, </w:t>
      </w:r>
      <w:r w:rsidRPr="00AB660D">
        <w:rPr>
          <w:lang w:val="en-GB"/>
        </w:rPr>
        <w:t>http://ec.europa.eu/enterprise/newsroom/cf/_getdocument.cfm</w:t>
      </w:r>
      <w:proofErr w:type="gramStart"/>
      <w:r w:rsidRPr="00AB660D">
        <w:rPr>
          <w:lang w:val="en-GB"/>
        </w:rPr>
        <w:t>?doc</w:t>
      </w:r>
      <w:proofErr w:type="gramEnd"/>
      <w:r w:rsidRPr="00AB660D">
        <w:rPr>
          <w:lang w:val="en-GB"/>
        </w:rPr>
        <w:t>_id=5416.</w:t>
      </w:r>
    </w:p>
  </w:footnote>
  <w:footnote w:id="4">
    <w:p w:rsidR="0095139D" w:rsidRDefault="0095139D" w:rsidP="00FC3A8B">
      <w:pPr>
        <w:pStyle w:val="EcoFootnote"/>
        <w:spacing w:after="240"/>
      </w:pPr>
      <w:r w:rsidRPr="008011EA">
        <w:rPr>
          <w:rStyle w:val="FootnoteReference"/>
        </w:rPr>
        <w:footnoteRef/>
      </w:r>
      <w:r>
        <w:t xml:space="preserve"> U.K. </w:t>
      </w:r>
      <w:r>
        <w:fldChar w:fldCharType="begin"/>
      </w:r>
      <w:r>
        <w:instrText xml:space="preserve"> ADDIN ZOTERO_ITEM CSL_CITATION {"citationID":"X2cJXC9A","properties":{"formattedCitation":"{\\rtf Department for Business Innovation &amp; Skills, \\i Low Carbon Environmental Goods and Services (LCEGS) Report for 2011/2012\\i0{}.}","plainCitation":"Department for Business Innovation &amp; Skills, Low Carbon Environmental Goods and Services (LCEGS) Report for 2011/2012."},"citationItems":[{"id":3170,"uris":["http://zotero.org/groups/9857/items/EP36N8HD"],"uri":["http://zotero.org/groups/9857/items/EP36N8HD"],"itemData":{"id":3170,"type":"report","title":"Low Carbon Environmental Goods and Services (LCEGS) Report for 2011/2012","publisher":"United Kingdom government","URL":"https://www.gov.uk/government/uploads/system/uploads/attachment_data/file/224068/bis-13-p143-low-carbon-and-environmental-goods-and-services-report-2011-12.pdf","language":"English","author":[{"family":"Department for Business Innovation &amp; Skills","given":""}],"issued":{"date-parts":[["2013",7]]},"accessed":{"date-parts":[["2013",12,10]]}}}],"schema":"https://github.com/citation-style-language/schema/raw/master/csl-citation.json"} </w:instrText>
      </w:r>
      <w:r>
        <w:fldChar w:fldCharType="separate"/>
      </w:r>
      <w:r w:rsidRPr="00B174D1">
        <w:rPr>
          <w:rFonts w:eastAsia="Times New Roman"/>
        </w:rPr>
        <w:t xml:space="preserve">Department for Business Innovation &amp; Skills, </w:t>
      </w:r>
      <w:r w:rsidRPr="00B174D1">
        <w:rPr>
          <w:rFonts w:eastAsia="Times New Roman"/>
          <w:i/>
          <w:iCs/>
        </w:rPr>
        <w:t>Low Carbon Environmental Goods and Services (LCEGS) Report for 2011/2012</w:t>
      </w:r>
      <w:r w:rsidRPr="00B174D1">
        <w:rPr>
          <w:rFonts w:eastAsia="Times New Roman"/>
        </w:rPr>
        <w:t>.</w:t>
      </w:r>
      <w:r>
        <w:fldChar w:fldCharType="end"/>
      </w:r>
    </w:p>
  </w:footnote>
  <w:footnote w:id="5">
    <w:p w:rsidR="0095139D" w:rsidRDefault="0095139D" w:rsidP="00FC3A8B">
      <w:pPr>
        <w:pStyle w:val="EcoFootnote"/>
        <w:spacing w:after="240"/>
      </w:pPr>
      <w:r w:rsidRPr="008011EA">
        <w:rPr>
          <w:rStyle w:val="FootnoteReference"/>
        </w:rPr>
        <w:footnoteRef/>
      </w:r>
      <w:r>
        <w:t xml:space="preserve"> </w:t>
      </w:r>
      <w:r>
        <w:rPr>
          <w:lang w:val="en-GB"/>
        </w:rPr>
        <w:t xml:space="preserve">A note on nuclear power: the LCEGS definition includes nuclear powers among a range of low-carbon technologies. This marks a difference to other definitions of Eco-Industries, as applied e.g. by </w:t>
      </w:r>
      <w:proofErr w:type="spellStart"/>
      <w:r>
        <w:rPr>
          <w:lang w:val="en-GB"/>
        </w:rPr>
        <w:t>Eurostat</w:t>
      </w:r>
      <w:proofErr w:type="spellEnd"/>
      <w:r>
        <w:rPr>
          <w:lang w:val="en-GB"/>
        </w:rPr>
        <w:t xml:space="preserve"> or the OECD. Given that a number of European countries have decided that nuclear power cannot be part of a sustainable energy mix, we would have preferred to present the analysis excluding nuclear. Unfortunately, it has not been possible to obtain the revised data without nuclear power, or to gain access to the underlying raw data and perform the corrections ourselves. It should be kept in mind, though, that including nuclear only has a small effect on the numbers presented in the following. Nuclear accounts for less than 3% of all LECGS: geothermal or wind contribute 3 to 4 times as much, respectively. Also, it is the least dynamic of the LECGS sectors: of the 24 subsectors included in the LECGS, nuclear (together with alternative fuel vehicles) reported the lowest rate of increase during 2007-2011, at 4%. Thus, the fact that nuclear is included in the dataset is unlikely to affect the results much. Without nuclear, the growth performance of the sector would even have been marginally better.</w:t>
      </w:r>
    </w:p>
  </w:footnote>
  <w:footnote w:id="6">
    <w:p w:rsidR="0095139D" w:rsidRDefault="0095139D" w:rsidP="00FC3A8B">
      <w:pPr>
        <w:pStyle w:val="EcoFootnote"/>
        <w:spacing w:after="240"/>
      </w:pPr>
      <w:r w:rsidRPr="008011EA">
        <w:rPr>
          <w:rStyle w:val="FootnoteReference"/>
        </w:rPr>
        <w:footnoteRef/>
      </w:r>
      <w:r>
        <w:t xml:space="preserve"> U.K. </w:t>
      </w:r>
      <w:r>
        <w:fldChar w:fldCharType="begin"/>
      </w:r>
      <w:r>
        <w:instrText xml:space="preserve"> ADDIN ZOTERO_ITEM CSL_CITATION {"citationID":"4WxahD3t","properties":{"formattedCitation":"{\\rtf Department for Business Innovation &amp; Skills, \\i Low Carbon Environmental Goods and Services (LCEGS) Report for 2011/2012\\i0{}.}","plainCitation":"Department for Business Innovation &amp; Skills, Low Carbon Environmental Goods and Services (LCEGS) Report for 2011/2012."},"citationItems":[{"id":3170,"uris":["http://zotero.org/groups/9857/items/EP36N8HD"],"uri":["http://zotero.org/groups/9857/items/EP36N8HD"],"itemData":{"id":3170,"type":"report","title":"Low Carbon Environmental Goods and Services (LCEGS) Report for 2011/2012","publisher":"United Kingdom government","URL":"https://www.gov.uk/government/uploads/system/uploads/attachment_data/file/224068/bis-13-p143-low-carbon-and-environmental-goods-and-services-report-2011-12.pdf","language":"English","author":[{"family":"Department for Business Innovation &amp; Skills","given":""}],"issued":{"date-parts":[["2013",7]]},"accessed":{"date-parts":[["2013",12,10]]}}}],"schema":"https://github.com/citation-style-language/schema/raw/master/csl-citation.json"} </w:instrText>
      </w:r>
      <w:r>
        <w:fldChar w:fldCharType="separate"/>
      </w:r>
      <w:r w:rsidRPr="00D95AAA">
        <w:rPr>
          <w:rFonts w:eastAsia="Times New Roman"/>
        </w:rPr>
        <w:t xml:space="preserve">Department for Business Innovation &amp; Skills, </w:t>
      </w:r>
      <w:r w:rsidRPr="00D95AAA">
        <w:rPr>
          <w:rFonts w:eastAsia="Times New Roman"/>
          <w:i/>
          <w:iCs/>
        </w:rPr>
        <w:t>Low Carbon Environmental Goods and Services (LCEGS) Report for 2011/2012</w:t>
      </w:r>
      <w:r w:rsidRPr="00D95AAA">
        <w:rPr>
          <w:rFonts w:eastAsia="Times New Roman"/>
        </w:rPr>
        <w:t>.</w:t>
      </w:r>
      <w:r>
        <w:fldChar w:fldCharType="end"/>
      </w:r>
    </w:p>
  </w:footnote>
  <w:footnote w:id="7">
    <w:p w:rsidR="0095139D" w:rsidRDefault="0095139D">
      <w:pPr>
        <w:pStyle w:val="FootnoteText"/>
      </w:pPr>
      <w:r>
        <w:rPr>
          <w:rStyle w:val="FootnoteReference"/>
        </w:rPr>
        <w:footnoteRef/>
      </w:r>
      <w:r>
        <w:t xml:space="preserve"> </w:t>
      </w:r>
      <w:proofErr w:type="gramStart"/>
      <w:r>
        <w:t xml:space="preserve">Please note that </w:t>
      </w:r>
      <w:r>
        <w:fldChar w:fldCharType="begin"/>
      </w:r>
      <w:r>
        <w:instrText xml:space="preserve"> REF _Ref249437288 \h </w:instrText>
      </w:r>
      <w:r>
        <w:fldChar w:fldCharType="separate"/>
      </w:r>
      <w:r w:rsidRPr="00E04A13">
        <w:rPr>
          <w:lang w:val="en-GB"/>
        </w:rPr>
        <w:t xml:space="preserve">Table </w:t>
      </w:r>
      <w:r>
        <w:rPr>
          <w:noProof/>
          <w:lang w:val="en-GB"/>
        </w:rPr>
        <w:t>2</w:t>
      </w:r>
      <w:r>
        <w:fldChar w:fldCharType="end"/>
      </w:r>
      <w:r>
        <w:t xml:space="preserve"> presents nominal growth rates for both LCEGS and GDP, i.e. not accounting for price changes, hence the very high growth rates for Chinese GDP.</w:t>
      </w:r>
      <w:proofErr w:type="gramEnd"/>
      <w:r>
        <w:t xml:space="preserve"> Producing inflation-adjusted growth rates for a particular sector (such as LCEGS) can be misleading, as the commonly used GDP deflators only consider the average rice in prices for a representative range of goods and services. Appling such a general deflator to a particular sector may not capture adequately the reality of this sector; therefore the table presents nominal growth rates.</w:t>
      </w:r>
    </w:p>
  </w:footnote>
  <w:footnote w:id="8">
    <w:p w:rsidR="0095139D" w:rsidRDefault="0095139D" w:rsidP="00FC3A8B">
      <w:pPr>
        <w:pStyle w:val="EcoFootnote"/>
        <w:spacing w:after="240"/>
      </w:pPr>
      <w:r w:rsidRPr="008011EA">
        <w:rPr>
          <w:rStyle w:val="FootnoteReference"/>
        </w:rPr>
        <w:footnoteRef/>
      </w:r>
      <w:r>
        <w:t xml:space="preserve"> </w:t>
      </w:r>
      <w:r>
        <w:fldChar w:fldCharType="begin"/>
      </w:r>
      <w:r>
        <w:instrText xml:space="preserve"> ADDIN ZOTERO_ITEM CSL_CITATION {"citationID":"3ER7DhK5","properties":{"formattedCitation":"{\\rtf OECD, \\i Energy and Climate Policy: Bending the Technological Trajectory\\i0{}, 58.}","plainCitation":"OECD, Energy and Climate Policy: Bending the Technological Trajectory, 58."},"citationItems":[{"id":10225,"uris":["http://zotero.org/groups/9857/items/2MNMC69X"],"uri":["http://zotero.org/groups/9857/items/2MNMC69X"],"itemData":{"id":10225,"type":"book","title":"Energy and climate policy: bending the technological trajectory","publisher":"OECD","publisher-place":"Paris","source":"Open WorldCat","event-place":"Paris","URL":"http://dx.doi.org/10.1787/9789264174573-en","ISBN":"9789264174566  9264174567  9789264174573  9264174575","language":"English","author":[{"family":"OECD","given":""}],"issued":{"date-parts":[["2012"]]},"accessed":{"date-parts":[["2013",12,20]]}},"locator":"58"}],"schema":"https://github.com/citation-style-language/schema/raw/master/csl-citation.json"} </w:instrText>
      </w:r>
      <w:r>
        <w:fldChar w:fldCharType="separate"/>
      </w:r>
      <w:r w:rsidRPr="00B174D1">
        <w:rPr>
          <w:rFonts w:eastAsia="Times New Roman"/>
        </w:rPr>
        <w:t xml:space="preserve">OECD, </w:t>
      </w:r>
      <w:r w:rsidRPr="00B174D1">
        <w:rPr>
          <w:rFonts w:eastAsia="Times New Roman"/>
          <w:i/>
          <w:iCs/>
        </w:rPr>
        <w:t>Energy and Climate Policy: Bending the Technological Trajectory</w:t>
      </w:r>
      <w:r w:rsidRPr="00B174D1">
        <w:rPr>
          <w:rFonts w:eastAsia="Times New Roman"/>
        </w:rPr>
        <w:t>, 58.</w:t>
      </w:r>
      <w:r>
        <w:fldChar w:fldCharType="end"/>
      </w:r>
    </w:p>
  </w:footnote>
  <w:footnote w:id="9">
    <w:p w:rsidR="0095139D" w:rsidRDefault="0095139D" w:rsidP="00FC3A8B">
      <w:pPr>
        <w:pStyle w:val="EcoFootnote"/>
        <w:spacing w:after="240"/>
      </w:pPr>
      <w:r w:rsidRPr="008011EA">
        <w:rPr>
          <w:rStyle w:val="FootnoteReference"/>
        </w:rPr>
        <w:footnoteRef/>
      </w:r>
      <w:r>
        <w:t xml:space="preserve"> See </w:t>
      </w:r>
      <w:r w:rsidRPr="00AF209A">
        <w:t>http://www.oecd.org/env/consumption-innovation/indicator.htm</w:t>
      </w:r>
    </w:p>
  </w:footnote>
  <w:footnote w:id="10">
    <w:p w:rsidR="0095139D" w:rsidRDefault="0095139D" w:rsidP="00FC3A8B">
      <w:pPr>
        <w:pStyle w:val="EcoFootnote"/>
        <w:spacing w:after="240"/>
      </w:pPr>
      <w:r w:rsidRPr="008011EA">
        <w:rPr>
          <w:rStyle w:val="FootnoteReference"/>
        </w:rPr>
        <w:footnoteRef/>
      </w:r>
      <w:r w:rsidRPr="002679CD">
        <w:rPr>
          <w:lang w:val="de-DE"/>
        </w:rPr>
        <w:t xml:space="preserve"> </w:t>
      </w:r>
      <w:r>
        <w:fldChar w:fldCharType="begin"/>
      </w:r>
      <w:r w:rsidRPr="002679CD">
        <w:rPr>
          <w:lang w:val="de-DE"/>
        </w:rPr>
        <w:instrText xml:space="preserve"> ADDIN ZOTERO_ITEM CSL_CITATION {"citationID":"lFKnfp6s","properties":{"formattedCitation":"{\\rtf Bundesministerium f\\uc0\\u252{}r Umwelt, Naturschutz und Reaktorsicherheit and Umweltbundesamt, \\i Report on the Environmental Economy 2011. Facts &amp; Figures for Germany\\i0{}.}","plainCitation":"Bundesministerium für Umwelt, Naturschutz und Reaktorsicherheit and Umweltbundesamt, Report on the Environmental Economy 2011. Facts &amp; Figures for Germany."},"citationItems":[{"id":10116,"uris":["http://zotero.org/groups/9857/items/WVJEX39H"],"uri":["http://zotero.org/groups/9857/items/WVJEX39H"],"itemData":{"id":10116,"type":"report","title":"Report on the Environmental Economy 2011. Facts &amp; Figures for Germany","publisher-place":"Berlin","event-place":"Berlin","author":[{"family":"Bundesministerium für Umwelt, Naturschutz und Reaktorsicherheit","given":""},{"family":"Umweltbundesamt","given":""}],"issued":{"date-parts":[["2011",9]]}}}],"schema":"https://github.com/citation-style-language/schema/raw/master/csl-citation.json"} </w:instrText>
      </w:r>
      <w:r>
        <w:fldChar w:fldCharType="separate"/>
      </w:r>
      <w:r w:rsidRPr="002679CD">
        <w:rPr>
          <w:rFonts w:eastAsia="Times New Roman"/>
          <w:lang w:val="de-DE"/>
        </w:rPr>
        <w:t xml:space="preserve">Bundesministerium für Umwelt, Naturschutz und Reaktorsicherheit and Umweltbundesamt, </w:t>
      </w:r>
      <w:r w:rsidRPr="002679CD">
        <w:rPr>
          <w:rFonts w:eastAsia="Times New Roman"/>
          <w:i/>
          <w:iCs/>
          <w:lang w:val="de-DE"/>
        </w:rPr>
        <w:t xml:space="preserve">Report on the Environmental Economy 2011. </w:t>
      </w:r>
      <w:r w:rsidRPr="00B174D1">
        <w:rPr>
          <w:rFonts w:eastAsia="Times New Roman"/>
          <w:i/>
          <w:iCs/>
        </w:rPr>
        <w:t>Facts &amp; Figures for Germany</w:t>
      </w:r>
      <w:r w:rsidRPr="00B174D1">
        <w:rPr>
          <w:rFonts w:eastAsia="Times New Roman"/>
        </w:rPr>
        <w:t>.</w:t>
      </w:r>
      <w:r>
        <w:fldChar w:fldCharType="end"/>
      </w:r>
    </w:p>
  </w:footnote>
  <w:footnote w:id="11">
    <w:p w:rsidR="0095139D" w:rsidRDefault="0095139D" w:rsidP="00FC3A8B">
      <w:pPr>
        <w:pStyle w:val="EcoFootnote"/>
        <w:spacing w:after="240"/>
      </w:pPr>
      <w:r w:rsidRPr="008011EA">
        <w:rPr>
          <w:rStyle w:val="FootnoteReference"/>
        </w:rPr>
        <w:footnoteRef/>
      </w:r>
      <w:r>
        <w:t xml:space="preserve"> </w:t>
      </w:r>
      <w:r>
        <w:fldChar w:fldCharType="begin"/>
      </w:r>
      <w:r>
        <w:instrText xml:space="preserve"> ADDIN ZOTERO_ITEM CSL_CITATION {"citationID":"63VRunAL","properties":{"formattedCitation":"Ibid., 26.","plainCitation":"Ibid., 26."},"citationItems":[{"id":10116,"uris":["http://zotero.org/groups/9857/items/WVJEX39H"],"uri":["http://zotero.org/groups/9857/items/WVJEX39H"],"itemData":{"id":10116,"type":"report","title":"Report on the Environmental Economy 2011. Facts &amp; Figures for Germany","publisher-place":"Berlin","event-place":"Berlin","author":[{"family":"Bundesministerium für Umwelt, Naturschutz und Reaktorsicherheit","given":""},{"family":"Umweltbundesamt","given":""}],"issued":{"date-parts":[["2011",9]]}},"locator":"26"}],"schema":"https://github.com/citation-style-language/schema/raw/master/csl-citation.json"} </w:instrText>
      </w:r>
      <w:r>
        <w:fldChar w:fldCharType="separate"/>
      </w:r>
      <w:r>
        <w:rPr>
          <w:noProof/>
        </w:rPr>
        <w:t>Ibid., 26.</w:t>
      </w:r>
      <w:r>
        <w:fldChar w:fldCharType="end"/>
      </w:r>
    </w:p>
  </w:footnote>
  <w:footnote w:id="12">
    <w:p w:rsidR="0095139D" w:rsidRDefault="0095139D" w:rsidP="00FC3A8B">
      <w:pPr>
        <w:pStyle w:val="EcoFootnote"/>
        <w:spacing w:after="240"/>
      </w:pPr>
      <w:r w:rsidRPr="008011EA">
        <w:rPr>
          <w:rStyle w:val="FootnoteReference"/>
        </w:rPr>
        <w:footnoteRef/>
      </w:r>
      <w:r>
        <w:t xml:space="preserve"> </w:t>
      </w:r>
      <w:r>
        <w:fldChar w:fldCharType="begin"/>
      </w:r>
      <w:r>
        <w:instrText xml:space="preserve"> ADDIN ZOTERO_ITEM CSL_CITATION {"citationID":"uMZ5SsGm","properties":{"formattedCitation":"{\\rtf OECD, \\i OECD Environmental Performance Reviews\\i0{}, 2012.}","plainCitation":"OECD, OECD Environmental Performance Reviews, 2012."},"citationItems":[{"id":3210,"uris":["http://zotero.org/groups/9857/items/EWN8TE8I"],"uri":["http://zotero.org/groups/9857/items/EWN8TE8I"],"itemData":{"id":3210,"type":"book","title":"OECD Environmental Performance Reviews: Germany 2012","publisher":"Organisation for Economic Co-operation and Development","publisher-place":"Paris","source":"OECD","event-place":"Paris","abstract":"This OECD Environmental Performance Review&amp;nbsp;provides an independent assessment of Germany&amp;#8217;s progress in achieving domestic and international environmental policy commitments, together with policy relevant recommendations.&amp;nbsp;It has been&amp;nbsp;conducted to promote peer learning, to enhance countries&amp;#8217; accountability to each other and to the public, and to improve governments&amp;#8217; environmental performance, individually and collectively. These Reviews are supported by a broad range of economic and environmental data. Each cycle of the Environmental Performance Reviews covers all OECD member countries and selected partner countries","URL":"http://www.oecd-ilibrary.org/content/book/9789264169302-en","ISBN":"9789264169296","note":"00000","shortTitle":"OECD Environmental Performance Reviews","language":"en","author":[{"family":"OECD","given":""}],"issued":{"date-parts":[["2012",5,31]]},"accessed":{"date-parts":[["2013",12,10]]}}}],"schema":"https://github.com/citation-style-language/schema/raw/master/csl-citation.json"} </w:instrText>
      </w:r>
      <w:r>
        <w:fldChar w:fldCharType="separate"/>
      </w:r>
      <w:r w:rsidRPr="00D95AAA">
        <w:rPr>
          <w:rFonts w:eastAsia="Times New Roman"/>
        </w:rPr>
        <w:t xml:space="preserve">OECD, </w:t>
      </w:r>
      <w:r w:rsidRPr="00D95AAA">
        <w:rPr>
          <w:rFonts w:eastAsia="Times New Roman"/>
          <w:i/>
          <w:iCs/>
        </w:rPr>
        <w:t>OECD Environmental Performance Reviews</w:t>
      </w:r>
      <w:r w:rsidRPr="00D95AAA">
        <w:rPr>
          <w:rFonts w:eastAsia="Times New Roman"/>
        </w:rPr>
        <w:t>, 2012.</w:t>
      </w:r>
      <w:r>
        <w:fldChar w:fldCharType="end"/>
      </w:r>
    </w:p>
  </w:footnote>
  <w:footnote w:id="13">
    <w:p w:rsidR="0095139D" w:rsidRDefault="0095139D" w:rsidP="00FC3A8B">
      <w:pPr>
        <w:pStyle w:val="EcoFootnote"/>
        <w:spacing w:after="240"/>
      </w:pPr>
      <w:r w:rsidRPr="008011EA">
        <w:rPr>
          <w:rStyle w:val="FootnoteReference"/>
        </w:rPr>
        <w:footnoteRef/>
      </w:r>
      <w:r>
        <w:t xml:space="preserve"> </w:t>
      </w:r>
      <w:r>
        <w:fldChar w:fldCharType="begin"/>
      </w:r>
      <w:r>
        <w:instrText xml:space="preserve"> ADDIN ZOTERO_ITEM CSL_CITATION {"citationID":"s3lKBghO","properties":{"formattedCitation":"Ibid.","plainCitation":"Ibid."},"citationItems":[{"id":3210,"uris":["http://zotero.org/groups/9857/items/EWN8TE8I"],"uri":["http://zotero.org/groups/9857/items/EWN8TE8I"],"itemData":{"id":3210,"type":"book","title":"OECD Environmental Performance Reviews: Germany 2012","publisher":"Organisation for Economic Co-operation and Development","publisher-place":"Paris","source":"OECD","event-place":"Paris","abstract":"This OECD Environmental Performance Review&amp;nbsp;provides an independent assessment of Germany&amp;#8217;s progress in achieving domestic and international environmental policy commitments, together with policy relevant recommendations.&amp;nbsp;It has been&amp;nbsp;conducted to promote peer learning, to enhance countries&amp;#8217; accountability to each other and to the public, and to improve governments&amp;#8217; environmental performance, individually and collectively. These Reviews are supported by a broad range of economic and environmental data. Each cycle of the Environmental Performance Reviews covers all OECD member countries and selected partner countries","URL":"http://www.oecd-ilibrary.org/content/book/9789264169302-en","ISBN":"9789264169296","note":"00000","shortTitle":"OECD Environmental Performance Reviews","language":"en","author":[{"family":"OECD","given":""}],"issued":{"date-parts":[["2012",5,31]]},"accessed":{"date-parts":[["2013",12,10]]}}}],"schema":"https://github.com/citation-style-language/schema/raw/master/csl-citation.json"} </w:instrText>
      </w:r>
      <w:r>
        <w:fldChar w:fldCharType="separate"/>
      </w:r>
      <w:r>
        <w:rPr>
          <w:noProof/>
        </w:rPr>
        <w:t>Ibid.</w:t>
      </w:r>
      <w:r>
        <w:fldChar w:fldCharType="end"/>
      </w:r>
    </w:p>
  </w:footnote>
  <w:footnote w:id="14">
    <w:p w:rsidR="0095139D" w:rsidRDefault="0095139D" w:rsidP="00FC3A8B">
      <w:pPr>
        <w:pStyle w:val="EcoFootnote"/>
        <w:spacing w:after="240"/>
      </w:pPr>
      <w:r w:rsidRPr="008011EA">
        <w:rPr>
          <w:rStyle w:val="FootnoteReference"/>
        </w:rPr>
        <w:footnoteRef/>
      </w:r>
      <w:r>
        <w:t xml:space="preserve"> </w:t>
      </w:r>
      <w:r>
        <w:fldChar w:fldCharType="begin"/>
      </w:r>
      <w:r>
        <w:instrText xml:space="preserve"> ADDIN ZOTERO_ITEM CSL_CITATION {"citationID":"2u9pfELs","properties":{"formattedCitation":"Ibid.","plainCitation":"Ibid."},"citationItems":[{"id":3210,"uris":["http://zotero.org/groups/9857/items/EWN8TE8I"],"uri":["http://zotero.org/groups/9857/items/EWN8TE8I"],"itemData":{"id":3210,"type":"book","title":"OECD Environmental Performance Reviews: Germany 2012","publisher":"Organisation for Economic Co-operation and Development","publisher-place":"Paris","source":"OECD","event-place":"Paris","abstract":"This OECD Environmental Performance Review&amp;nbsp;provides an independent assessment of Germany&amp;#8217;s progress in achieving domestic and international environmental policy commitments, together with policy relevant recommendations.&amp;nbsp;It has been&amp;nbsp;conducted to promote peer learning, to enhance countries&amp;#8217; accountability to each other and to the public, and to improve governments&amp;#8217; environmental performance, individually and collectively. These Reviews are supported by a broad range of economic and environmental data. Each cycle of the Environmental Performance Reviews covers all OECD member countries and selected partner countries","URL":"http://www.oecd-ilibrary.org/content/book/9789264169302-en","ISBN":"9789264169296","note":"00000","shortTitle":"OECD Environmental Performance Reviews","language":"en","author":[{"family":"OECD","given":""}],"issued":{"date-parts":[["2012",5,31]]},"accessed":{"date-parts":[["2013",12,10]]}}}],"schema":"https://github.com/citation-style-language/schema/raw/master/csl-citation.json"} </w:instrText>
      </w:r>
      <w:r>
        <w:fldChar w:fldCharType="separate"/>
      </w:r>
      <w:r>
        <w:rPr>
          <w:noProof/>
        </w:rPr>
        <w:t>Ibid.</w:t>
      </w:r>
      <w:r>
        <w:fldChar w:fldCharType="end"/>
      </w:r>
    </w:p>
  </w:footnote>
  <w:footnote w:id="15">
    <w:p w:rsidR="0095139D" w:rsidRDefault="0095139D" w:rsidP="00FC3A8B">
      <w:pPr>
        <w:pStyle w:val="EcoFootnote"/>
        <w:spacing w:after="240"/>
      </w:pPr>
      <w:r w:rsidRPr="008011EA">
        <w:rPr>
          <w:rStyle w:val="FootnoteReference"/>
        </w:rPr>
        <w:footnoteRef/>
      </w:r>
      <w:r>
        <w:t xml:space="preserve"> </w:t>
      </w:r>
      <w:r>
        <w:fldChar w:fldCharType="begin"/>
      </w:r>
      <w:r>
        <w:instrText xml:space="preserve"> ADDIN ZOTERO_ITEM CSL_CITATION {"citationID":"eXwNjjFD","properties":{"formattedCitation":"Ibid., 67.","plainCitation":"Ibid., 67."},"citationItems":[{"id":3210,"uris":["http://zotero.org/groups/9857/items/EWN8TE8I"],"uri":["http://zotero.org/groups/9857/items/EWN8TE8I"],"itemData":{"id":3210,"type":"book","title":"OECD Environmental Performance Reviews: Germany 2012","publisher":"Organisation for Economic Co-operation and Development","publisher-place":"Paris","source":"OECD","event-place":"Paris","abstract":"This OECD Environmental Performance Review&amp;nbsp;provides an independent assessment of Germany&amp;#8217;s progress in achieving domestic and international environmental policy commitments, together with policy relevant recommendations.&amp;nbsp;It has been&amp;nbsp;conducted to promote peer learning, to enhance countries&amp;#8217; accountability to each other and to the public, and to improve governments&amp;#8217; environmental performance, individually and collectively. These Reviews are supported by a broad range of economic and environmental data. Each cycle of the Environmental Performance Reviews covers all OECD member countries and selected partner countries","URL":"http://www.oecd-ilibrary.org/content/book/9789264169302-en","ISBN":"9789264169296","note":"00000","shortTitle":"OECD Environmental Performance Reviews","language":"en","author":[{"family":"OECD","given":""}],"issued":{"date-parts":[["2012",5,31]]},"accessed":{"date-parts":[["2013",12,10]]}},"locator":"67"}],"schema":"https://github.com/citation-style-language/schema/raw/master/csl-citation.json"} </w:instrText>
      </w:r>
      <w:r>
        <w:fldChar w:fldCharType="separate"/>
      </w:r>
      <w:r>
        <w:rPr>
          <w:noProof/>
        </w:rPr>
        <w:t>Ibid., 67.</w:t>
      </w:r>
      <w:r>
        <w:fldChar w:fldCharType="end"/>
      </w:r>
    </w:p>
  </w:footnote>
  <w:footnote w:id="16">
    <w:p w:rsidR="0095139D" w:rsidRDefault="0095139D" w:rsidP="00FC3A8B">
      <w:pPr>
        <w:pStyle w:val="EcoFootnote"/>
        <w:spacing w:after="240"/>
      </w:pPr>
      <w:r w:rsidRPr="008011EA">
        <w:rPr>
          <w:rStyle w:val="FootnoteReference"/>
        </w:rPr>
        <w:footnoteRef/>
      </w:r>
      <w:r>
        <w:t xml:space="preserve"> </w:t>
      </w:r>
      <w:r>
        <w:fldChar w:fldCharType="begin"/>
      </w:r>
      <w:r>
        <w:instrText xml:space="preserve"> ADDIN ZOTERO_ITEM CSL_CITATION {"citationID":"ug5Udu3q","properties":{"formattedCitation":"Ibid.","plainCitation":"Ibid."},"citationItems":[{"id":3210,"uris":["http://zotero.org/groups/9857/items/EWN8TE8I"],"uri":["http://zotero.org/groups/9857/items/EWN8TE8I"],"itemData":{"id":3210,"type":"book","title":"OECD Environmental Performance Reviews: Germany 2012","publisher":"Organisation for Economic Co-operation and Development","publisher-place":"Paris","source":"OECD","event-place":"Paris","abstract":"This OECD Environmental Performance Review&amp;nbsp;provides an independent assessment of Germany&amp;#8217;s progress in achieving domestic and international environmental policy commitments, together with policy relevant recommendations.&amp;nbsp;It has been&amp;nbsp;conducted to promote peer learning, to enhance countries&amp;#8217; accountability to each other and to the public, and to improve governments&amp;#8217; environmental performance, individually and collectively. These Reviews are supported by a broad range of economic and environmental data. Each cycle of the Environmental Performance Reviews covers all OECD member countries and selected partner countries","URL":"http://www.oecd-ilibrary.org/content/book/9789264169302-en","ISBN":"9789264169296","note":"00000","shortTitle":"OECD Environmental Performance Reviews","language":"en","author":[{"family":"OECD","given":""}],"issued":{"date-parts":[["2012",5,31]]},"accessed":{"date-parts":[["2013",12,10]]}},"locator":"67"}],"schema":"https://github.com/citation-style-language/schema/raw/master/csl-citation.json"} </w:instrText>
      </w:r>
      <w:r>
        <w:fldChar w:fldCharType="separate"/>
      </w:r>
      <w:r>
        <w:rPr>
          <w:noProof/>
        </w:rPr>
        <w:t>Ibid.</w:t>
      </w:r>
      <w:r>
        <w:fldChar w:fldCharType="end"/>
      </w:r>
    </w:p>
  </w:footnote>
  <w:footnote w:id="17">
    <w:p w:rsidR="0095139D" w:rsidRDefault="0095139D" w:rsidP="00FC3A8B">
      <w:pPr>
        <w:pStyle w:val="EcoFootnote"/>
        <w:spacing w:after="240"/>
      </w:pPr>
      <w:r w:rsidRPr="008011EA">
        <w:rPr>
          <w:rStyle w:val="FootnoteReference"/>
        </w:rPr>
        <w:footnoteRef/>
      </w:r>
      <w:r>
        <w:t xml:space="preserve"> </w:t>
      </w:r>
      <w:r>
        <w:fldChar w:fldCharType="begin"/>
      </w:r>
      <w:r>
        <w:instrText xml:space="preserve"> ADDIN ZOTERO_ITEM CSL_CITATION {"citationID":"QFuizHeP","properties":{"formattedCitation":"{\\rtf O\\uc0\\u8217{}Sullivan et al., \\i Bruttobesch\\uc0\\u228{}ftigung Durch Erneuerbare Energien in Deutschland Im Jahr 2012\\i0{}.}","plainCitation":"O’Sullivan et al., Bruttobeschäftigung Durch Erneuerbare Energien in Deutschland Im Jahr 2012."},"citationItems":[{"id":5957,"uris":["http://zotero.org/groups/9857/items/XXSSX5I3"],"uri":["http://zotero.org/groups/9857/items/XXSSX5I3"],"itemData":{"id":5957,"type":"report","title":"Bruttobeschäftigung durch erneuerbare Energien in Deutschland im Jahr 2012","publisher":"Bundesministerium für Umwelt, Naturschutz und Reaktorsicherheit (BMU)","publisher-place":"Berlin","event-place":"Berlin","author":[{"family":"O'Sullivan","given":"Marlene"},{"family":"Edler","given":"Dietmar"},{"family":"Bickel","given":"Peter"},{"family":"Lehr","given":"Ulrike"},{"family":"Peter","given":"Frank"},{"family":"Sakowski","given":"Fabian"}],"issued":{"date-parts":[["2013",3]]}}}],"schema":"https://github.com/citation-style-language/schema/raw/master/csl-citation.json"} </w:instrText>
      </w:r>
      <w:r>
        <w:fldChar w:fldCharType="separate"/>
      </w:r>
      <w:r w:rsidRPr="00B174D1">
        <w:rPr>
          <w:rFonts w:eastAsia="Times New Roman"/>
        </w:rPr>
        <w:t xml:space="preserve">O’Sullivan et al., </w:t>
      </w:r>
      <w:r w:rsidRPr="00B174D1">
        <w:rPr>
          <w:rFonts w:eastAsia="Times New Roman"/>
          <w:i/>
          <w:iCs/>
        </w:rPr>
        <w:t>Bruttobeschäftigung Durch Erneuerbare Energien in Deutschland Im Jahr 2012</w:t>
      </w:r>
      <w:r w:rsidRPr="00B174D1">
        <w:rPr>
          <w:rFonts w:eastAsia="Times New Roman"/>
        </w:rPr>
        <w:t>.</w:t>
      </w:r>
      <w:r>
        <w:fldChar w:fldCharType="end"/>
      </w:r>
    </w:p>
  </w:footnote>
  <w:footnote w:id="18">
    <w:p w:rsidR="0095139D" w:rsidRPr="00101620" w:rsidRDefault="0095139D" w:rsidP="00FC3A8B">
      <w:pPr>
        <w:pStyle w:val="EcoFootnote"/>
        <w:spacing w:after="240"/>
        <w:rPr>
          <w:lang w:val="de-DE"/>
        </w:rPr>
      </w:pPr>
      <w:r w:rsidRPr="008011EA">
        <w:rPr>
          <w:rStyle w:val="FootnoteReference"/>
        </w:rPr>
        <w:footnoteRef/>
      </w:r>
      <w:r w:rsidRPr="0059035E">
        <w:rPr>
          <w:lang w:val="de-DE"/>
        </w:rPr>
        <w:t xml:space="preserve"> </w:t>
      </w:r>
      <w:r>
        <w:fldChar w:fldCharType="begin"/>
      </w:r>
      <w:r w:rsidRPr="0059035E">
        <w:rPr>
          <w:lang w:val="de-DE"/>
        </w:rPr>
        <w:instrText xml:space="preserve"> ADDIN ZOTERO_ITEM CSL_CITATION {"citationID":"dbYXFVoL","properties":{"formattedCitation":"{\\rtf Sachverst\\uc0\\u228{}ndigenrat f\\uc0\\u252{}r Wirtschaft, \\uc0\\u8220{}Zeitreihen F\\uc0\\u252{}r Deutschland\\uc0\\u8221{}; Bundesministerium f\\uc0\\u252{}r Umwelt, Naturschutz und Reaktorsicherheit, \\i Erneuerbare Energien in Zahlen. Nationale Und Internationale Entwicklung\\i0{}.}","plainCitation":"Sachverständigenrat für Wirtschaft, “Zeitreihen Für Deutschland”; Bundesministerium für Umwelt, Naturschutz und Reaktorsicherheit, Erneuerbare Energien in Zahlen. Nationale Und Internationale Entwicklung."},"citationItems":[{"id":5981,"uris":["http://zotero.org/groups/9857/items/RB95PEJM"],"uri":["http://zotero.org/groups/9857/items/RB95PEJM"],"itemData":{"id":5981,"type":"webpage","title":"Zeitreihen für Deutschland","URL":"http://www.sachverstaendigenrat-wirtschaft.de/zr_deutschland.html#c147","author":[{"family":"Sachverständigenrat für Wirtschaft","given":""}],"accessed":{"date-parts":[["2013",12,18]]}}},{"id":9734,"uris":["http://zotero.org/groups/9857/items/5AJF2C8Q"],"uri":["http://zotero.org/groups/9857/items/5AJF2C8Q"],"itemData":{"id":9734,"type":"report","title":"Erneuerbare Energien in Zahlen. Nationale und Internationale Entwicklung","publisher-place":"Berlin","event-place":"Berlin","author":[{"family":"Bundesministerium für Umwelt, Naturschutz und Reaktorsicherheit","given":""}],"issued":{"date-parts":[["2013",7]]}}}],"schema":"https://github.com/citation-style-language/schema/raw/master/csl-citation.json"} </w:instrText>
      </w:r>
      <w:r>
        <w:fldChar w:fldCharType="separate"/>
      </w:r>
      <w:r w:rsidRPr="0059035E">
        <w:rPr>
          <w:rFonts w:eastAsia="Times New Roman"/>
          <w:lang w:val="de-DE"/>
        </w:rPr>
        <w:t xml:space="preserve">Sachverständigenrat für Wirtschaft, “Zeitreihen Für Deutschland”; Bundesministerium für Umwelt, Naturschutz und Reaktorsicherheit, </w:t>
      </w:r>
      <w:r w:rsidRPr="0059035E">
        <w:rPr>
          <w:rFonts w:eastAsia="Times New Roman"/>
          <w:i/>
          <w:iCs/>
          <w:lang w:val="de-DE"/>
        </w:rPr>
        <w:t>Erneuerbare Energien in Zahlen. Nationale Und Internationale Entwicklung</w:t>
      </w:r>
      <w:r w:rsidRPr="0059035E">
        <w:rPr>
          <w:rFonts w:eastAsia="Times New Roman"/>
          <w:lang w:val="de-DE"/>
        </w:rPr>
        <w:t>.</w:t>
      </w:r>
      <w:r>
        <w:fldChar w:fldCharType="end"/>
      </w:r>
    </w:p>
  </w:footnote>
  <w:footnote w:id="19">
    <w:p w:rsidR="0095139D" w:rsidRPr="00101620" w:rsidRDefault="0095139D" w:rsidP="00FC3A8B">
      <w:pPr>
        <w:pStyle w:val="EcoFootnote"/>
        <w:spacing w:after="240"/>
        <w:rPr>
          <w:lang w:val="de-DE"/>
        </w:rPr>
      </w:pPr>
      <w:r w:rsidRPr="008011EA">
        <w:rPr>
          <w:rStyle w:val="FootnoteReference"/>
        </w:rPr>
        <w:footnoteRef/>
      </w:r>
      <w:r w:rsidRPr="0059035E">
        <w:rPr>
          <w:lang w:val="de-DE"/>
        </w:rPr>
        <w:t xml:space="preserve"> </w:t>
      </w:r>
      <w:r>
        <w:fldChar w:fldCharType="begin"/>
      </w:r>
      <w:r w:rsidRPr="0059035E">
        <w:rPr>
          <w:lang w:val="de-DE"/>
        </w:rPr>
        <w:instrText xml:space="preserve"> ADDIN ZOTERO_ITEM CSL_CITATION {"citationID":"BIZqCvHU","properties":{"formattedCitation":"{\\rtf Bundesministerium f\\uc0\\u252{}r Umwelt, Naturschutz und Reaktorsicherheit, \\i Erneuerbare Energien in Zahlen. Nationale Und Internationale Entwicklung\\i0{}; O\\uc0\\u8217{}Sullivan et al., \\i Bruttobesch\\uc0\\u228{}ftigung Durch Erneuerbare Energien in Deutschland Im Jahr 2012\\i0{}.}","plainCitation":"Bundesministerium für Umwelt, Naturschutz und Reaktorsicherheit, Erneuerbare Energien in Zahlen. Nationale Und Internationale Entwicklung; O’Sullivan et al., Bruttobeschäftigung Durch Erneuerbare Energien in Deutschland Im Jahr 2012."},"citationItems":[{"id":9734,"uris":["http://zotero.org/groups/9857/items/5AJF2C8Q"],"uri":["http://zotero.org/groups/9857/items/5AJF2C8Q"],"itemData":{"id":9734,"type":"report","title":"Erneuerbare Energien in Zahlen. Nationale und Internationale Entwicklung","publisher-place":"Berlin","event-place":"Berlin","author":[{"family":"Bundesministerium für Umwelt, Naturschutz und Reaktorsicherheit","given":""}],"issued":{"date-parts":[["2013",7]]}}},{"id":5957,"uris":["http://zotero.org/groups/9857/items/XXSSX5I3"],"uri":["http://zotero.org/groups/9857/items/XXSSX5I3"],"itemData":{"id":5957,"type":"report","title":"Bruttobeschäftigung durch erneuerbare Energien in Deutschland im Jahr 2012","publisher":"Bundesministerium für Umwelt, Naturschutz und Reaktorsicherheit (BMU)","publisher-place":"Berlin","event-place":"Berlin","author":[{"family":"O'Sullivan","given":"Marlene"},{"family":"Edler","given":"Dietmar"},{"family":"Bickel","given":"Peter"},{"family":"Lehr","given":"Ulrike"},{"family":"Peter","given":"Frank"},{"family":"Sakowski","given":"Fabian"}],"issued":{"date-parts":[["2013",3]]}}}],"schema":"https://github.com/citation-style-language/schema/raw/master/csl-citation.json"} </w:instrText>
      </w:r>
      <w:r>
        <w:fldChar w:fldCharType="separate"/>
      </w:r>
      <w:r w:rsidRPr="0059035E">
        <w:rPr>
          <w:rFonts w:eastAsia="Times New Roman"/>
          <w:lang w:val="de-DE"/>
        </w:rPr>
        <w:t xml:space="preserve">Bundesministerium für Umwelt, Naturschutz und Reaktorsicherheit, </w:t>
      </w:r>
      <w:r w:rsidRPr="0059035E">
        <w:rPr>
          <w:rFonts w:eastAsia="Times New Roman"/>
          <w:i/>
          <w:iCs/>
          <w:lang w:val="de-DE"/>
        </w:rPr>
        <w:t>Erneuerbare Energien in Zahlen. Nationale Und Internationale Entwicklung</w:t>
      </w:r>
      <w:r w:rsidRPr="0059035E">
        <w:rPr>
          <w:rFonts w:eastAsia="Times New Roman"/>
          <w:lang w:val="de-DE"/>
        </w:rPr>
        <w:t xml:space="preserve">; O’Sullivan et al., </w:t>
      </w:r>
      <w:r w:rsidRPr="0059035E">
        <w:rPr>
          <w:rFonts w:eastAsia="Times New Roman"/>
          <w:i/>
          <w:iCs/>
          <w:lang w:val="de-DE"/>
        </w:rPr>
        <w:t>Bruttobeschäftigung Durch Erneuerbare Energien in Deutschland Im Jahr 2012</w:t>
      </w:r>
      <w:r w:rsidRPr="0059035E">
        <w:rPr>
          <w:rFonts w:eastAsia="Times New Roman"/>
          <w:lang w:val="de-DE"/>
        </w:rPr>
        <w:t>.</w:t>
      </w:r>
      <w:r>
        <w:fldChar w:fldCharType="end"/>
      </w:r>
    </w:p>
  </w:footnote>
  <w:footnote w:id="20">
    <w:p w:rsidR="0095139D" w:rsidRPr="005A083D" w:rsidRDefault="0095139D" w:rsidP="00FC3A8B">
      <w:pPr>
        <w:pStyle w:val="EcoFootnote"/>
        <w:spacing w:after="240"/>
      </w:pPr>
      <w:r>
        <w:rPr>
          <w:rStyle w:val="FootnoteReference"/>
        </w:rPr>
        <w:footnoteRef/>
      </w:r>
      <w:r>
        <w:t xml:space="preserve"> </w:t>
      </w:r>
      <w:r>
        <w:fldChar w:fldCharType="begin"/>
      </w:r>
      <w:r>
        <w:instrText xml:space="preserve"> ADDIN ZOTERO_ITEM CSL_CITATION {"citationID":"uMZ5SsGm","properties":{"formattedCitation":"{\\rtf OECD, \\i OECD Environmental Performance Reviews\\i0{}, 2012.}","plainCitation":"OECD, OECD Environmental Performance Reviews, 2012."},"citationItems":[{"id":3210,"uris":["http://zotero.org/groups/9857/items/EWN8TE8I"],"uri":["http://zotero.org/groups/9857/items/EWN8TE8I"],"itemData":{"id":3210,"type":"book","title":"OECD Environmental Performance Reviews: Germany 2012","publisher":"Organisation for Economic Co-operation and Development","publisher-place":"Paris","source":"OECD","event-place":"Paris","abstract":"This OECD Environmental Performance Review&amp;nbsp;provides an independent assessment of Germany&amp;#8217;s progress in achieving domestic and international environmental policy commitments, together with policy relevant recommendations.&amp;nbsp;It has been&amp;nbsp;conducted to promote peer learning, to enhance countries&amp;#8217; accountability to each other and to the public, and to improve governments&amp;#8217; environmental performance, individually and collectively. These Reviews are supported by a broad range of economic and environmental data. Each cycle of the Environmental Performance Reviews covers all OECD member countries and selected partner countries","URL":"http://www.oecd-ilibrary.org/content/book/9789264169302-en","ISBN":"9789264169296","note":"00000","shortTitle":"OECD Environmental Performance Reviews","language":"en","author":[{"family":"OECD","given":""}],"issued":{"date-parts":[["2012",5,31]]},"accessed":{"date-parts":[["2013",12,10]]}}}],"schema":"https://github.com/citation-style-language/schema/raw/master/csl-citation.json"} </w:instrText>
      </w:r>
      <w:r>
        <w:fldChar w:fldCharType="separate"/>
      </w:r>
      <w:r w:rsidRPr="00D95AAA">
        <w:rPr>
          <w:rFonts w:eastAsia="Times New Roman"/>
        </w:rPr>
        <w:t xml:space="preserve">OECD, </w:t>
      </w:r>
      <w:r w:rsidRPr="00D95AAA">
        <w:rPr>
          <w:rFonts w:eastAsia="Times New Roman"/>
          <w:i/>
          <w:iCs/>
        </w:rPr>
        <w:t>OECD Environmental Performance Reviews</w:t>
      </w:r>
      <w:r w:rsidRPr="00D95AAA">
        <w:rPr>
          <w:rFonts w:eastAsia="Times New Roman"/>
        </w:rPr>
        <w:t>, 201</w:t>
      </w:r>
      <w:r>
        <w:rPr>
          <w:rFonts w:eastAsia="Times New Roman"/>
        </w:rPr>
        <w:t>3</w:t>
      </w:r>
      <w:r w:rsidRPr="00D95AAA">
        <w:rPr>
          <w:rFonts w:eastAsia="Times New Roman"/>
        </w:rPr>
        <w:t>.</w:t>
      </w:r>
      <w:r>
        <w:fldChar w:fldCharType="end"/>
      </w:r>
    </w:p>
  </w:footnote>
  <w:footnote w:id="21">
    <w:p w:rsidR="0095139D" w:rsidRPr="005A083D" w:rsidRDefault="0095139D" w:rsidP="00FC3A8B">
      <w:pPr>
        <w:pStyle w:val="EcoFootnote"/>
        <w:spacing w:after="240"/>
      </w:pPr>
      <w:r>
        <w:rPr>
          <w:rStyle w:val="FootnoteReference"/>
        </w:rPr>
        <w:footnoteRef/>
      </w:r>
      <w:r>
        <w:t xml:space="preserve"> Ibid.</w:t>
      </w:r>
    </w:p>
  </w:footnote>
  <w:footnote w:id="22">
    <w:p w:rsidR="0095139D" w:rsidRPr="005A083D" w:rsidRDefault="0095139D" w:rsidP="00FC3A8B">
      <w:pPr>
        <w:pStyle w:val="EcoFootnote"/>
        <w:spacing w:after="240"/>
      </w:pPr>
      <w:r>
        <w:rPr>
          <w:rStyle w:val="FootnoteReference"/>
        </w:rPr>
        <w:footnoteRef/>
      </w:r>
      <w:r>
        <w:t xml:space="preserve"> Ibid.</w:t>
      </w:r>
    </w:p>
  </w:footnote>
  <w:footnote w:id="23">
    <w:p w:rsidR="0095139D" w:rsidRPr="005A083D" w:rsidRDefault="0095139D" w:rsidP="00FC3A8B">
      <w:pPr>
        <w:pStyle w:val="EcoFootnote"/>
        <w:spacing w:after="240"/>
      </w:pPr>
      <w:r>
        <w:rPr>
          <w:rStyle w:val="FootnoteReference"/>
        </w:rPr>
        <w:footnoteRef/>
      </w:r>
      <w:r>
        <w:t xml:space="preserve"> Ibid.</w:t>
      </w:r>
    </w:p>
  </w:footnote>
  <w:footnote w:id="24">
    <w:p w:rsidR="0095139D" w:rsidRPr="005A083D" w:rsidRDefault="0095139D" w:rsidP="00FC3A8B">
      <w:pPr>
        <w:pStyle w:val="EcoFootnote"/>
        <w:spacing w:after="240"/>
      </w:pPr>
      <w:r>
        <w:rPr>
          <w:rStyle w:val="FootnoteReference"/>
        </w:rPr>
        <w:footnoteRef/>
      </w:r>
      <w:r>
        <w:t xml:space="preserve"> Ibid.</w:t>
      </w:r>
    </w:p>
  </w:footnote>
  <w:footnote w:id="25">
    <w:p w:rsidR="0095139D" w:rsidRPr="005A083D" w:rsidRDefault="0095139D" w:rsidP="00FC3A8B">
      <w:pPr>
        <w:pStyle w:val="EcoFootnote"/>
        <w:spacing w:after="240"/>
      </w:pPr>
      <w:r>
        <w:rPr>
          <w:rStyle w:val="FootnoteReference"/>
        </w:rPr>
        <w:footnoteRef/>
      </w:r>
      <w:r>
        <w:t xml:space="preserve"> Ibid.</w:t>
      </w:r>
    </w:p>
  </w:footnote>
  <w:footnote w:id="26">
    <w:p w:rsidR="0095139D" w:rsidRPr="005A083D" w:rsidRDefault="0095139D" w:rsidP="00FC3A8B">
      <w:pPr>
        <w:pStyle w:val="EcoFootnote"/>
        <w:spacing w:after="240"/>
      </w:pPr>
      <w:r>
        <w:rPr>
          <w:rStyle w:val="FootnoteReference"/>
        </w:rPr>
        <w:footnoteRef/>
      </w:r>
      <w:r>
        <w:t xml:space="preserve"> Ibid.</w:t>
      </w:r>
    </w:p>
  </w:footnote>
  <w:footnote w:id="27">
    <w:p w:rsidR="0095139D" w:rsidRPr="00E41421" w:rsidRDefault="0095139D" w:rsidP="00FC3A8B">
      <w:pPr>
        <w:pStyle w:val="EcoFootnote"/>
        <w:spacing w:after="240"/>
      </w:pPr>
      <w:r w:rsidRPr="008011EA">
        <w:rPr>
          <w:rStyle w:val="FootnoteReference"/>
        </w:rPr>
        <w:footnoteRef/>
      </w:r>
      <w:r w:rsidRPr="00E11D8C">
        <w:rPr>
          <w:lang w:val="de-DE"/>
        </w:rPr>
        <w:t xml:space="preserve"> Kassenberg and Kassenberg.</w:t>
      </w:r>
      <w:r>
        <w:rPr>
          <w:lang w:val="de-DE"/>
        </w:rPr>
        <w:t xml:space="preserve"> </w:t>
      </w:r>
      <w:r w:rsidRPr="00FC3A8B">
        <w:rPr>
          <w:i/>
          <w:lang w:val="de-DE"/>
        </w:rPr>
        <w:t>Eco Innovation in Poland</w:t>
      </w:r>
      <w:r>
        <w:rPr>
          <w:lang w:val="de-DE"/>
        </w:rPr>
        <w:t>.</w:t>
      </w:r>
      <w:r w:rsidRPr="00E11D8C">
        <w:rPr>
          <w:lang w:val="de-DE"/>
        </w:rPr>
        <w:t xml:space="preserve"> </w:t>
      </w:r>
      <w:proofErr w:type="gramStart"/>
      <w:r>
        <w:t>Eco-Innovation Observatory, 2011.</w:t>
      </w:r>
      <w:proofErr w:type="gramEnd"/>
      <w:r>
        <w:t xml:space="preserve"> </w:t>
      </w:r>
      <w:hyperlink r:id="rId1" w:history="1">
        <w:r w:rsidRPr="00EE2CEC">
          <w:rPr>
            <w:rStyle w:val="Hyperlink"/>
          </w:rPr>
          <w:t>http://www.eco-innovation.eu/media/EIO_Country_Brief_2011_Poland.pdf</w:t>
        </w:r>
      </w:hyperlink>
      <w:r>
        <w:t xml:space="preserve"> </w:t>
      </w:r>
    </w:p>
  </w:footnote>
  <w:footnote w:id="28">
    <w:p w:rsidR="0095139D" w:rsidRPr="00E41421" w:rsidRDefault="0095139D" w:rsidP="00FC3A8B">
      <w:pPr>
        <w:pStyle w:val="EcoFootnote"/>
        <w:spacing w:after="240"/>
      </w:pPr>
      <w:r w:rsidRPr="008011EA">
        <w:rPr>
          <w:rStyle w:val="FootnoteReference"/>
        </w:rPr>
        <w:footnoteRef/>
      </w:r>
      <w:r w:rsidRPr="00FC3A8B">
        <w:rPr>
          <w:lang w:val="de-DE"/>
        </w:rPr>
        <w:t xml:space="preserve"> Kassenberg and Kassenberg. </w:t>
      </w:r>
      <w:r w:rsidRPr="00FC3A8B">
        <w:rPr>
          <w:i/>
          <w:lang w:val="de-DE"/>
        </w:rPr>
        <w:t>Eco Innovation in Poland</w:t>
      </w:r>
      <w:r w:rsidRPr="00FC3A8B">
        <w:rPr>
          <w:lang w:val="de-DE"/>
        </w:rPr>
        <w:t xml:space="preserve">. </w:t>
      </w:r>
      <w:proofErr w:type="gramStart"/>
      <w:r>
        <w:t>Eco-Innovation Observatory, 2011.</w:t>
      </w:r>
      <w:proofErr w:type="gramEnd"/>
      <w:r>
        <w:t xml:space="preserve"> </w:t>
      </w:r>
      <w:hyperlink r:id="rId2" w:history="1">
        <w:r w:rsidRPr="00EE2CEC">
          <w:rPr>
            <w:rStyle w:val="Hyperlink"/>
          </w:rPr>
          <w:t>http://www.eco-innovation.eu/media/EIO_Country_Brief_2011_Poland.pdf</w:t>
        </w:r>
      </w:hyperlink>
      <w:r>
        <w:t xml:space="preserve"> </w:t>
      </w:r>
    </w:p>
  </w:footnote>
  <w:footnote w:id="29">
    <w:p w:rsidR="0095139D" w:rsidRPr="00116494" w:rsidRDefault="0095139D" w:rsidP="00FC3A8B">
      <w:pPr>
        <w:pStyle w:val="EcoFootnote"/>
        <w:spacing w:after="240"/>
        <w:rPr>
          <w:lang w:val="de-DE"/>
        </w:rPr>
      </w:pPr>
      <w:r w:rsidRPr="008011EA">
        <w:rPr>
          <w:rStyle w:val="FootnoteReference"/>
        </w:rPr>
        <w:footnoteRef/>
      </w:r>
      <w:r>
        <w:t xml:space="preserve"> </w:t>
      </w:r>
      <w:proofErr w:type="spellStart"/>
      <w:r>
        <w:t>Szwed</w:t>
      </w:r>
      <w:proofErr w:type="spellEnd"/>
      <w:r>
        <w:t xml:space="preserve">, </w:t>
      </w:r>
      <w:proofErr w:type="spellStart"/>
      <w:r>
        <w:t>Dariusz</w:t>
      </w:r>
      <w:proofErr w:type="spellEnd"/>
      <w:r>
        <w:t xml:space="preserve"> and </w:t>
      </w:r>
      <w:proofErr w:type="spellStart"/>
      <w:r>
        <w:t>Beata</w:t>
      </w:r>
      <w:proofErr w:type="spellEnd"/>
      <w:r>
        <w:t xml:space="preserve"> </w:t>
      </w:r>
      <w:proofErr w:type="spellStart"/>
      <w:r>
        <w:t>Maciejewska</w:t>
      </w:r>
      <w:proofErr w:type="spellEnd"/>
      <w:r>
        <w:t xml:space="preserve">. </w:t>
      </w:r>
      <w:proofErr w:type="gramStart"/>
      <w:r w:rsidRPr="00FC3A8B">
        <w:rPr>
          <w:i/>
        </w:rPr>
        <w:t>Green Jobs in Poland – Potentials and Prospects</w:t>
      </w:r>
      <w:r>
        <w:t>.</w:t>
      </w:r>
      <w:proofErr w:type="gramEnd"/>
      <w:r>
        <w:t xml:space="preserve"> </w:t>
      </w:r>
      <w:r w:rsidRPr="00116494">
        <w:rPr>
          <w:lang w:val="de-DE"/>
        </w:rPr>
        <w:t xml:space="preserve">Friedrich Ebert Stiftung, 2012. </w:t>
      </w:r>
      <w:hyperlink r:id="rId3" w:history="1">
        <w:r w:rsidRPr="00116494">
          <w:rPr>
            <w:rStyle w:val="Hyperlink"/>
            <w:lang w:val="de-DE"/>
          </w:rPr>
          <w:t>http://www.fes-asia.org/media/publication/2012_GreenJobsInPoland_FES-EoT_Study_Szweed_Maciejewska.pdf</w:t>
        </w:r>
      </w:hyperlink>
      <w:r w:rsidRPr="00116494">
        <w:rPr>
          <w:lang w:val="de-DE"/>
        </w:rPr>
        <w:t xml:space="preserve"> </w:t>
      </w:r>
    </w:p>
  </w:footnote>
  <w:footnote w:id="30">
    <w:p w:rsidR="0095139D" w:rsidRDefault="0095139D" w:rsidP="00FC3A8B">
      <w:pPr>
        <w:pStyle w:val="EcoFootnote"/>
        <w:spacing w:after="240"/>
      </w:pPr>
      <w:r w:rsidRPr="008011EA">
        <w:rPr>
          <w:rStyle w:val="FootnoteReference"/>
        </w:rPr>
        <w:footnoteRef/>
      </w:r>
      <w:r>
        <w:t xml:space="preserve"> </w:t>
      </w:r>
      <w:r>
        <w:fldChar w:fldCharType="begin"/>
      </w:r>
      <w:r>
        <w:instrText xml:space="preserve"> ADDIN ZOTERO_ITEM CSL_CITATION {"citationID":"bApdrtgg","properties":{"formattedCitation":"{\\rtf OECD, \\i OECD Environmental Performance Reviews\\i0{}, 2011.}","plainCitation":"OECD, OECD Environmental Performance Reviews, 2011."},"citationItems":[{"id":2794,"uris":["http://zotero.org/groups/9857/items/C7PFFAMD"],"uri":["http://zotero.org/groups/9857/items/C7PFFAMD"],"itemData":{"id":2794,"type":"book","title":"OECD Environmental Performance Reviews: Portugal 2011","publisher":"Organisation for Economic Co-operation and Development","publisher-place":"Paris","source":"OECD","event-place":"Paris","abstract":"This report presents the&amp;nbsp;OECD review of Portugal&amp;#8217;s environmental policy performance for 2011. It finds that&amp;nbsp;environmental policies have been consolidated and strengthened since the last review in 2001, but that meeting the post-Kyoto targets for reducing greenhouse gas emissions will be challenging. With energy and climate policies being closely related, the report&amp;nbsp;points out&amp;nbsp;that with less than 50% of hydro capacity currently being exploited, there is potential for further development in that area. It also describes the challenges regarding coastal zone and marine management. Topics covered in the report include&amp;nbsp;greening growth, implementation of environmental policies , international co-operation , climate change, waste management and the 3Rs (reduce, reuse, recycle),&amp;nbsp;and nature and biodiversity. Further information about the Environmental Performance Review programme is available on line via www.oecd.org/env/countryreviews.&amp;nbsp;","URL":"http://www.oecd-ilibrary.org/content/book/9789264097896-en","ISBN":"9789264097841","shortTitle":"OECD Environmental Performance Reviews","language":"en","author":[{"family":"OECD","given":""}],"issued":{"date-parts":[["2011",4,11]]},"accessed":{"date-parts":[["2013",12,10]]}}}],"schema":"https://github.com/citation-style-language/schema/raw/master/csl-citation.json"} </w:instrText>
      </w:r>
      <w:r>
        <w:fldChar w:fldCharType="separate"/>
      </w:r>
      <w:r w:rsidRPr="00D95AAA">
        <w:rPr>
          <w:rFonts w:eastAsia="Times New Roman"/>
        </w:rPr>
        <w:t xml:space="preserve">OECD, </w:t>
      </w:r>
      <w:r w:rsidRPr="00D95AAA">
        <w:rPr>
          <w:rFonts w:eastAsia="Times New Roman"/>
          <w:i/>
          <w:iCs/>
        </w:rPr>
        <w:t>OECD Environmental Performance Reviews</w:t>
      </w:r>
      <w:r w:rsidRPr="00D95AAA">
        <w:rPr>
          <w:rFonts w:eastAsia="Times New Roman"/>
        </w:rPr>
        <w:t>, 2011.</w:t>
      </w:r>
      <w:r>
        <w:fldChar w:fldCharType="end"/>
      </w:r>
    </w:p>
  </w:footnote>
  <w:footnote w:id="31">
    <w:p w:rsidR="0095139D" w:rsidRDefault="0095139D" w:rsidP="00FC3A8B">
      <w:pPr>
        <w:pStyle w:val="EcoFootnote"/>
        <w:spacing w:after="240"/>
      </w:pPr>
      <w:r w:rsidRPr="008011EA">
        <w:rPr>
          <w:rStyle w:val="FootnoteReference"/>
        </w:rPr>
        <w:footnoteRef/>
      </w:r>
      <w:r>
        <w:t xml:space="preserve"> Source: </w:t>
      </w:r>
      <w:proofErr w:type="spellStart"/>
      <w:r>
        <w:t>Eurostat</w:t>
      </w:r>
      <w:proofErr w:type="spellEnd"/>
      <w:r>
        <w:t xml:space="preserve"> </w:t>
      </w:r>
      <w:r>
        <w:rPr>
          <w:rStyle w:val="rightside"/>
        </w:rPr>
        <w:t>nrg_ind_335a</w:t>
      </w:r>
    </w:p>
  </w:footnote>
  <w:footnote w:id="32">
    <w:p w:rsidR="0095139D" w:rsidRDefault="0095139D" w:rsidP="00FC3A8B">
      <w:pPr>
        <w:pStyle w:val="EcoFootnote"/>
        <w:spacing w:after="240"/>
      </w:pPr>
      <w:r w:rsidRPr="008011EA">
        <w:rPr>
          <w:rStyle w:val="FootnoteReference"/>
        </w:rPr>
        <w:footnoteRef/>
      </w:r>
      <w:r>
        <w:t xml:space="preserve"> Morris. “Portugal Reaches 70 percent Renewable Power.” 2013. </w:t>
      </w:r>
    </w:p>
  </w:footnote>
  <w:footnote w:id="33">
    <w:p w:rsidR="0095139D" w:rsidRDefault="0095139D" w:rsidP="00FC3A8B">
      <w:pPr>
        <w:pStyle w:val="EcoFootnote"/>
        <w:spacing w:after="240"/>
      </w:pPr>
      <w:r w:rsidRPr="008011EA">
        <w:rPr>
          <w:rStyle w:val="FootnoteReference"/>
        </w:rPr>
        <w:footnoteRef/>
      </w:r>
      <w:r>
        <w:t xml:space="preserve"> </w:t>
      </w:r>
      <w:r>
        <w:fldChar w:fldCharType="begin"/>
      </w:r>
      <w:r>
        <w:instrText xml:space="preserve"> ADDIN ZOTERO_ITEM CSL_CITATION {"citationID":"lSJcp2KL","properties":{"formattedCitation":"{\\rtf OECD, \\i OECD Environmental Performance Reviews\\i0{}, 2011, 12.}","plainCitation":"OECD, OECD Environmental Performance Reviews, 2011, 12."},"citationItems":[{"id":2794,"uris":["http://zotero.org/groups/9857/items/C7PFFAMD"],"uri":["http://zotero.org/groups/9857/items/C7PFFAMD"],"itemData":{"id":2794,"type":"book","title":"OECD Environmental Performance Reviews: Portugal 2011","publisher":"Organisation for Economic Co-operation and Development","publisher-place":"Paris","source":"OECD","event-place":"Paris","abstract":"This report presents the&amp;nbsp;OECD review of Portugal&amp;#8217;s environmental policy performance for 2011. It finds that&amp;nbsp;environmental policies have been consolidated and strengthened since the last review in 2001, but that meeting the post-Kyoto targets for reducing greenhouse gas emissions will be challenging. With energy and climate policies being closely related, the report&amp;nbsp;points out&amp;nbsp;that with less than 50% of hydro capacity currently being exploited, there is potential for further development in that area. It also describes the challenges regarding coastal zone and marine management. Topics covered in the report include&amp;nbsp;greening growth, implementation of environmental policies , international co-operation , climate change, waste management and the 3Rs (reduce, reuse, recycle),&amp;nbsp;and nature and biodiversity. Further information about the Environmental Performance Review programme is available on line via www.oecd.org/env/countryreviews.&amp;nbsp;","URL":"http://www.oecd-ilibrary.org/content/book/9789264097896-en","ISBN":"9789264097841","shortTitle":"OECD Environmental Performance Reviews","language":"en","author":[{"family":"OECD","given":""}],"issued":{"date-parts":[["2011",4,11]]},"accessed":{"date-parts":[["2013",12,10]]}},"locator":"12"}],"schema":"https://github.com/citation-style-language/schema/raw/master/csl-citation.json"} </w:instrText>
      </w:r>
      <w:r>
        <w:fldChar w:fldCharType="separate"/>
      </w:r>
      <w:r w:rsidRPr="00933AC0">
        <w:rPr>
          <w:rFonts w:eastAsia="Times New Roman"/>
        </w:rPr>
        <w:t xml:space="preserve">OECD, </w:t>
      </w:r>
      <w:r w:rsidRPr="00933AC0">
        <w:rPr>
          <w:rFonts w:eastAsia="Times New Roman"/>
          <w:i/>
          <w:iCs/>
        </w:rPr>
        <w:t>OECD Environmental Performance Reviews</w:t>
      </w:r>
      <w:r w:rsidRPr="00933AC0">
        <w:rPr>
          <w:rFonts w:eastAsia="Times New Roman"/>
        </w:rPr>
        <w:t xml:space="preserve">, 2011, </w:t>
      </w:r>
      <w:r>
        <w:rPr>
          <w:rFonts w:eastAsia="Times New Roman"/>
        </w:rPr>
        <w:t xml:space="preserve">p. </w:t>
      </w:r>
      <w:r w:rsidRPr="00933AC0">
        <w:rPr>
          <w:rFonts w:eastAsia="Times New Roman"/>
        </w:rPr>
        <w:t>12.</w:t>
      </w:r>
      <w:r>
        <w:fldChar w:fldCharType="end"/>
      </w:r>
    </w:p>
  </w:footnote>
  <w:footnote w:id="34">
    <w:p w:rsidR="0095139D" w:rsidRDefault="0095139D" w:rsidP="00FC3A8B">
      <w:pPr>
        <w:pStyle w:val="EcoFootnote"/>
        <w:spacing w:after="240"/>
      </w:pPr>
      <w:r w:rsidRPr="008011EA">
        <w:rPr>
          <w:rStyle w:val="FootnoteReference"/>
        </w:rPr>
        <w:footnoteRef/>
      </w:r>
      <w:r>
        <w:t xml:space="preserve"> </w:t>
      </w:r>
      <w:r>
        <w:fldChar w:fldCharType="begin"/>
      </w:r>
      <w:r>
        <w:instrText xml:space="preserve"> ADDIN ZOTERO_ITEM CSL_CITATION {"citationID":"AL9w9Jqa","properties":{"formattedCitation":"Ebd., 49.","plainCitation":"Ebd., 49."},"citationItems":[{"id":2794,"uris":["http://zotero.org/groups/9857/items/C7PFFAMD"],"uri":["http://zotero.org/groups/9857/items/C7PFFAMD"],"itemData":{"id":2794,"type":"book","title":"OECD Environmental Performance Reviews: Portugal 2011","publisher":"Organisation for Economic Co-operation and Development","publisher-place":"Paris","source":"OECD","event-place":"Paris","abstract":"This report presents the&amp;nbsp;OECD review of Portugal&amp;#8217;s environmental policy performance for 2011. It finds that&amp;nbsp;environmental policies have been consolidated and strengthened since the last review in 2001, but that meeting the post-Kyoto targets for reducing greenhouse gas emissions will be challenging. With energy and climate policies being closely related, the report&amp;nbsp;points out&amp;nbsp;that with less than 50% of hydro capacity currently being exploited, there is potential for further development in that area. It also describes the challenges regarding coastal zone and marine management. Topics covered in the report include&amp;nbsp;greening growth, implementation of environmental policies , international co-operation , climate change, waste management and the 3Rs (reduce, reuse, recycle),&amp;nbsp;and nature and biodiversity. Further information about the Environmental Performance Review programme is available on line via www.oecd.org/env/countryreviews.&amp;nbsp;","URL":"http://www.oecd-ilibrary.org/content/book/9789264097896-en","ISBN":"9789264097841","shortTitle":"OECD Environmental Performance Reviews","language":"en","author":[{"family":"OECD","given":""}],"issued":{"date-parts":[["2011",4,11]]},"accessed":{"date-parts":[["2013",12,10]]}},"locator":"49"}],"schema":"https://github.com/citation-style-language/schema/raw/master/csl-citation.json"} </w:instrText>
      </w:r>
      <w:r>
        <w:fldChar w:fldCharType="separate"/>
      </w:r>
      <w:r>
        <w:rPr>
          <w:noProof/>
        </w:rPr>
        <w:t>Ibid., 49.</w:t>
      </w:r>
      <w:r>
        <w:fldChar w:fldCharType="end"/>
      </w:r>
    </w:p>
  </w:footnote>
  <w:footnote w:id="35">
    <w:p w:rsidR="0095139D" w:rsidRPr="00BD6216" w:rsidRDefault="0095139D" w:rsidP="00FC3A8B">
      <w:pPr>
        <w:pStyle w:val="EcoFootnote"/>
        <w:spacing w:after="240"/>
      </w:pPr>
      <w:r w:rsidRPr="008011EA">
        <w:rPr>
          <w:rStyle w:val="FootnoteReference"/>
        </w:rPr>
        <w:footnoteRef/>
      </w:r>
      <w:r>
        <w:t xml:space="preserve"> U.K. Department for Business, Innovation and Skills. </w:t>
      </w:r>
      <w:r w:rsidRPr="00FC3A8B">
        <w:rPr>
          <w:i/>
        </w:rPr>
        <w:t>Low Carbon and Environmental Goods and Servi</w:t>
      </w:r>
      <w:r>
        <w:rPr>
          <w:i/>
        </w:rPr>
        <w:t>ces – Report for 2011/12.</w:t>
      </w:r>
      <w:r>
        <w:t xml:space="preserve"> London: 2013. </w:t>
      </w:r>
    </w:p>
  </w:footnote>
  <w:footnote w:id="36">
    <w:p w:rsidR="0095139D" w:rsidRDefault="0095139D" w:rsidP="00FC3A8B">
      <w:pPr>
        <w:pStyle w:val="EcoFootnote"/>
        <w:spacing w:after="240"/>
      </w:pPr>
      <w:r w:rsidRPr="008011EA">
        <w:rPr>
          <w:rStyle w:val="FootnoteReference"/>
        </w:rPr>
        <w:footnoteRef/>
      </w:r>
      <w:r>
        <w:t xml:space="preserve"> Gordon et al. “The Green Industrial Revolution and the United States,” The Center for American Progress, December 2013. p. 6.</w:t>
      </w:r>
    </w:p>
  </w:footnote>
  <w:footnote w:id="37">
    <w:p w:rsidR="0095139D" w:rsidRDefault="0095139D" w:rsidP="00FC3A8B">
      <w:pPr>
        <w:pStyle w:val="EcoFootnote"/>
        <w:spacing w:after="240"/>
      </w:pPr>
      <w:r w:rsidRPr="008011EA">
        <w:rPr>
          <w:rStyle w:val="FootnoteReference"/>
        </w:rPr>
        <w:footnoteRef/>
      </w:r>
      <w:r>
        <w:t xml:space="preserve"> </w:t>
      </w:r>
      <w:r w:rsidRPr="00FC3A8B">
        <w:rPr>
          <w:i/>
        </w:rPr>
        <w:t>Green stimulus measures</w:t>
      </w:r>
      <w:r>
        <w:t>, EC-IILS Joint Discussion Paper Series No. 15, 2011, p. 12.</w:t>
      </w:r>
    </w:p>
  </w:footnote>
  <w:footnote w:id="38">
    <w:p w:rsidR="0095139D" w:rsidRDefault="0095139D" w:rsidP="00FC3A8B">
      <w:pPr>
        <w:pStyle w:val="EcoFootnote"/>
        <w:spacing w:after="240"/>
      </w:pPr>
      <w:r w:rsidRPr="008011EA">
        <w:rPr>
          <w:rStyle w:val="FootnoteReference"/>
        </w:rPr>
        <w:footnoteRef/>
      </w:r>
      <w:r>
        <w:t xml:space="preserve"> </w:t>
      </w:r>
      <w:proofErr w:type="spellStart"/>
      <w:proofErr w:type="gramStart"/>
      <w:r>
        <w:t>Muro</w:t>
      </w:r>
      <w:proofErr w:type="spellEnd"/>
      <w:r>
        <w:t xml:space="preserve"> et al. </w:t>
      </w:r>
      <w:r w:rsidRPr="00FC3A8B">
        <w:rPr>
          <w:i/>
        </w:rPr>
        <w:t>Sizing the Clean Economy</w:t>
      </w:r>
      <w:r>
        <w:t>.</w:t>
      </w:r>
      <w:proofErr w:type="gramEnd"/>
      <w:r>
        <w:t xml:space="preserve"> </w:t>
      </w:r>
      <w:proofErr w:type="gramStart"/>
      <w:r>
        <w:t>The Brookings Institution, 2011.</w:t>
      </w:r>
      <w:proofErr w:type="gramEnd"/>
    </w:p>
  </w:footnote>
  <w:footnote w:id="39">
    <w:p w:rsidR="0095139D" w:rsidRDefault="0095139D" w:rsidP="00FC3A8B">
      <w:pPr>
        <w:pStyle w:val="EcoFootnote"/>
        <w:spacing w:after="240"/>
      </w:pPr>
      <w:r w:rsidRPr="008011EA">
        <w:rPr>
          <w:rStyle w:val="FootnoteReference"/>
        </w:rPr>
        <w:footnoteRef/>
      </w:r>
      <w:r>
        <w:t xml:space="preserve"> See US Energy Information Administration </w:t>
      </w:r>
      <w:hyperlink r:id="rId4" w:history="1">
        <w:r>
          <w:rPr>
            <w:rStyle w:val="Hyperlink"/>
          </w:rPr>
          <w:t>http://www.eia.gov/todayinenergy/detail.cfm?id=9751&amp;src=email</w:t>
        </w:r>
      </w:hyperlink>
      <w:r>
        <w:t xml:space="preserve"> and Adam Vaughn, “China burns half of coal consumption worldwide, figures show,” The Guardian, 30 January 2013, </w:t>
      </w:r>
      <w:hyperlink r:id="rId5" w:history="1">
        <w:r>
          <w:rPr>
            <w:rStyle w:val="Hyperlink"/>
          </w:rPr>
          <w:t>http://www.theguardian.com/environment/2013/jan/30/china-burns-half-coal-worldwide</w:t>
        </w:r>
      </w:hyperlink>
      <w:r>
        <w:t>.</w:t>
      </w:r>
    </w:p>
  </w:footnote>
  <w:footnote w:id="40">
    <w:p w:rsidR="0095139D" w:rsidRDefault="0095139D" w:rsidP="00FC3A8B">
      <w:pPr>
        <w:pStyle w:val="EcoFootnote"/>
        <w:spacing w:after="240"/>
      </w:pPr>
      <w:r w:rsidRPr="008011EA">
        <w:rPr>
          <w:rStyle w:val="FootnoteReference"/>
        </w:rPr>
        <w:footnoteRef/>
      </w:r>
      <w:r>
        <w:t xml:space="preserve"> Gordon et al. “The Green Industrial Revolution and the United States,” The Center for American Progress, December 2013. p. 10.</w:t>
      </w:r>
    </w:p>
  </w:footnote>
  <w:footnote w:id="41">
    <w:p w:rsidR="0095139D" w:rsidRDefault="0095139D" w:rsidP="00FC3A8B">
      <w:pPr>
        <w:pStyle w:val="EcoFootnote"/>
        <w:spacing w:after="240"/>
      </w:pPr>
      <w:r w:rsidRPr="008011EA">
        <w:rPr>
          <w:rStyle w:val="FootnoteReference"/>
        </w:rPr>
        <w:footnoteRef/>
      </w:r>
      <w:r>
        <w:t xml:space="preserve"> Ibid</w:t>
      </w:r>
      <w:proofErr w:type="gramStart"/>
      <w:r>
        <w:t>.,</w:t>
      </w:r>
      <w:proofErr w:type="gramEnd"/>
      <w:r>
        <w:t xml:space="preserve"> p. 9.</w:t>
      </w:r>
    </w:p>
  </w:footnote>
  <w:footnote w:id="42">
    <w:p w:rsidR="0095139D" w:rsidRDefault="0095139D" w:rsidP="00FC3A8B">
      <w:pPr>
        <w:pStyle w:val="EcoFootnote"/>
        <w:spacing w:after="240"/>
      </w:pPr>
      <w:r w:rsidRPr="008011EA">
        <w:rPr>
          <w:rStyle w:val="FootnoteReference"/>
        </w:rPr>
        <w:footnoteRef/>
      </w:r>
      <w:r>
        <w:t xml:space="preserve"> Ibid</w:t>
      </w:r>
      <w:proofErr w:type="gramStart"/>
      <w:r>
        <w:t>.,</w:t>
      </w:r>
      <w:proofErr w:type="gramEnd"/>
      <w:r>
        <w:t xml:space="preserve"> p. 10.</w:t>
      </w:r>
    </w:p>
  </w:footnote>
  <w:footnote w:id="43">
    <w:p w:rsidR="0095139D" w:rsidRDefault="0095139D" w:rsidP="00FC3A8B">
      <w:pPr>
        <w:pStyle w:val="EcoFootnote"/>
        <w:spacing w:after="240"/>
      </w:pPr>
      <w:r w:rsidRPr="008011EA">
        <w:rPr>
          <w:rStyle w:val="FootnoteReference"/>
        </w:rPr>
        <w:footnoteRef/>
      </w:r>
      <w:r>
        <w:t xml:space="preserve"> REN21. </w:t>
      </w:r>
      <w:proofErr w:type="gramStart"/>
      <w:r w:rsidRPr="00FC3A8B">
        <w:rPr>
          <w:i/>
        </w:rPr>
        <w:t>Renewables 2013 Global Status Report</w:t>
      </w:r>
      <w:r>
        <w:t>.</w:t>
      </w:r>
      <w:proofErr w:type="gramEnd"/>
      <w:r>
        <w:t xml:space="preserve"> (Paris: REN21 Secretariat), 2013, pp. 58-59.</w:t>
      </w:r>
    </w:p>
  </w:footnote>
  <w:footnote w:id="44">
    <w:p w:rsidR="0095139D" w:rsidRDefault="0095139D" w:rsidP="00FC3A8B">
      <w:pPr>
        <w:pStyle w:val="EcoFootnote"/>
        <w:spacing w:after="240"/>
      </w:pPr>
      <w:r w:rsidRPr="008011EA">
        <w:rPr>
          <w:rStyle w:val="FootnoteReference"/>
        </w:rPr>
        <w:footnoteRef/>
      </w:r>
      <w:r>
        <w:t xml:space="preserve"> Ibid</w:t>
      </w:r>
      <w:proofErr w:type="gramStart"/>
      <w:r>
        <w:t>.,</w:t>
      </w:r>
      <w:proofErr w:type="gramEnd"/>
      <w:r>
        <w:t xml:space="preserve"> p. 17.</w:t>
      </w:r>
    </w:p>
  </w:footnote>
  <w:footnote w:id="45">
    <w:p w:rsidR="0095139D" w:rsidRDefault="0095139D" w:rsidP="00FC3A8B">
      <w:pPr>
        <w:pStyle w:val="EcoFootnote"/>
        <w:spacing w:after="240"/>
      </w:pPr>
      <w:r w:rsidRPr="008011EA">
        <w:rPr>
          <w:rStyle w:val="FootnoteReference"/>
        </w:rPr>
        <w:footnoteRef/>
      </w:r>
      <w:r>
        <w:t xml:space="preserve"> Ibid</w:t>
      </w:r>
      <w:proofErr w:type="gramStart"/>
      <w:r>
        <w:t>.,</w:t>
      </w:r>
      <w:proofErr w:type="gramEnd"/>
      <w:r>
        <w:t xml:space="preserve"> p. 13.</w:t>
      </w:r>
    </w:p>
  </w:footnote>
  <w:footnote w:id="46">
    <w:p w:rsidR="0095139D" w:rsidRDefault="0095139D" w:rsidP="00FC3A8B">
      <w:pPr>
        <w:pStyle w:val="EcoFootnote"/>
        <w:spacing w:after="240"/>
      </w:pPr>
      <w:r w:rsidRPr="008011EA">
        <w:rPr>
          <w:rStyle w:val="FootnoteReference"/>
        </w:rPr>
        <w:footnoteRef/>
      </w:r>
      <w:r>
        <w:t xml:space="preserve"> Pew Charitable Trusts. </w:t>
      </w:r>
      <w:r w:rsidRPr="00FC3A8B">
        <w:rPr>
          <w:i/>
        </w:rPr>
        <w:t xml:space="preserve">Who’s Winning the Clean Energy Race </w:t>
      </w:r>
      <w:proofErr w:type="gramStart"/>
      <w:r w:rsidRPr="00FC3A8B">
        <w:rPr>
          <w:i/>
        </w:rPr>
        <w:t>2012</w:t>
      </w:r>
      <w:r>
        <w:t>.</w:t>
      </w:r>
      <w:proofErr w:type="gramEnd"/>
      <w:r>
        <w:t xml:space="preserve"> 2012. p. 7.</w:t>
      </w:r>
    </w:p>
  </w:footnote>
  <w:footnote w:id="47">
    <w:p w:rsidR="0095139D" w:rsidRDefault="0095139D" w:rsidP="00FC3A8B">
      <w:pPr>
        <w:pStyle w:val="EcoFootnote"/>
        <w:spacing w:after="240"/>
      </w:pPr>
      <w:r w:rsidRPr="008011EA">
        <w:rPr>
          <w:rStyle w:val="FootnoteReference"/>
        </w:rPr>
        <w:footnoteRef/>
      </w:r>
      <w:r>
        <w:t xml:space="preserve"> Ibid</w:t>
      </w:r>
      <w:proofErr w:type="gramStart"/>
      <w:r>
        <w:t>.,</w:t>
      </w:r>
      <w:proofErr w:type="gramEnd"/>
      <w:r>
        <w:t xml:space="preserve"> p. 36.</w:t>
      </w:r>
    </w:p>
  </w:footnote>
  <w:footnote w:id="48">
    <w:p w:rsidR="0095139D" w:rsidRDefault="0095139D" w:rsidP="00FC3A8B">
      <w:pPr>
        <w:pStyle w:val="EcoFootnote"/>
        <w:spacing w:after="240"/>
      </w:pPr>
      <w:r w:rsidRPr="008011EA">
        <w:rPr>
          <w:rStyle w:val="FootnoteReference"/>
        </w:rPr>
        <w:footnoteRef/>
      </w:r>
      <w:r>
        <w:t xml:space="preserve"> </w:t>
      </w:r>
      <w:proofErr w:type="spellStart"/>
      <w:r>
        <w:t>Muro</w:t>
      </w:r>
      <w:proofErr w:type="spellEnd"/>
      <w:r>
        <w:t xml:space="preserve"> et al. “Sizing the Clean Economy.” </w:t>
      </w:r>
      <w:proofErr w:type="gramStart"/>
      <w:r>
        <w:t>The Brookings Institution, 2011.</w:t>
      </w:r>
      <w:proofErr w:type="gramEnd"/>
    </w:p>
  </w:footnote>
  <w:footnote w:id="49">
    <w:p w:rsidR="0095139D" w:rsidRDefault="0095139D" w:rsidP="00FC3A8B">
      <w:pPr>
        <w:pStyle w:val="EcoFootnote"/>
        <w:spacing w:after="240"/>
      </w:pPr>
      <w:r w:rsidRPr="008011EA">
        <w:rPr>
          <w:rStyle w:val="FootnoteReference"/>
        </w:rPr>
        <w:footnoteRef/>
      </w:r>
      <w:r>
        <w:t xml:space="preserve"> REN21. </w:t>
      </w:r>
      <w:proofErr w:type="gramStart"/>
      <w:r w:rsidRPr="00FC3A8B">
        <w:rPr>
          <w:i/>
        </w:rPr>
        <w:t>Renewables 2013 Global Status Report.</w:t>
      </w:r>
      <w:proofErr w:type="gramEnd"/>
      <w:r>
        <w:t xml:space="preserve"> (Paris: REN21 Secretariat), 2013, pp. 16-17.</w:t>
      </w:r>
    </w:p>
  </w:footnote>
  <w:footnote w:id="50">
    <w:p w:rsidR="0095139D" w:rsidRDefault="0095139D" w:rsidP="00FC3A8B">
      <w:pPr>
        <w:pStyle w:val="EcoFootnote"/>
        <w:spacing w:after="240"/>
      </w:pPr>
      <w:r w:rsidRPr="008011EA">
        <w:rPr>
          <w:rStyle w:val="FootnoteReference"/>
        </w:rPr>
        <w:footnoteRef/>
      </w:r>
      <w:r>
        <w:t xml:space="preserve"> </w:t>
      </w:r>
      <w:r w:rsidRPr="00A6619D">
        <w:t>Ministry of Environment and Natural Resources, www.semarnat.gob.mx</w:t>
      </w:r>
      <w:r>
        <w:t xml:space="preserve"> </w:t>
      </w:r>
    </w:p>
  </w:footnote>
  <w:footnote w:id="51">
    <w:p w:rsidR="0095139D" w:rsidRPr="005D6386" w:rsidRDefault="0095139D" w:rsidP="00FC3A8B">
      <w:pPr>
        <w:pStyle w:val="EcoFootnote"/>
        <w:spacing w:after="240"/>
      </w:pPr>
      <w:r w:rsidRPr="008011EA">
        <w:rPr>
          <w:rStyle w:val="FootnoteReference"/>
        </w:rPr>
        <w:footnoteRef/>
      </w:r>
      <w:r>
        <w:t xml:space="preserve"> </w:t>
      </w:r>
      <w:proofErr w:type="gramStart"/>
      <w:r>
        <w:t xml:space="preserve">OECD, </w:t>
      </w:r>
      <w:r w:rsidRPr="00D86F54">
        <w:rPr>
          <w:i/>
        </w:rPr>
        <w:t>Environmental Performance Reviews, Mexico 2013</w:t>
      </w:r>
      <w:r>
        <w:t>.</w:t>
      </w:r>
      <w:proofErr w:type="gramEnd"/>
      <w:r w:rsidRPr="005D6386">
        <w:t xml:space="preserve"> 2013</w:t>
      </w:r>
      <w:r>
        <w:t>.</w:t>
      </w:r>
      <w:r w:rsidRPr="005D6386">
        <w:t xml:space="preserve"> </w:t>
      </w:r>
    </w:p>
  </w:footnote>
  <w:footnote w:id="52">
    <w:p w:rsidR="0095139D" w:rsidRDefault="0095139D" w:rsidP="00FC3A8B">
      <w:pPr>
        <w:pStyle w:val="EcoFootnote"/>
        <w:spacing w:after="240"/>
      </w:pPr>
      <w:r w:rsidRPr="008011EA">
        <w:rPr>
          <w:rStyle w:val="FootnoteReference"/>
        </w:rPr>
        <w:footnoteRef/>
      </w:r>
      <w:r>
        <w:t xml:space="preserve"> </w:t>
      </w:r>
      <w:r w:rsidRPr="00A6619D">
        <w:t xml:space="preserve">“National Agreement in </w:t>
      </w:r>
      <w:proofErr w:type="spellStart"/>
      <w:r w:rsidRPr="00A6619D">
        <w:t>Favour</w:t>
      </w:r>
      <w:proofErr w:type="spellEnd"/>
      <w:r w:rsidRPr="00A6619D">
        <w:t xml:space="preserve"> of Family, Economy and Employment</w:t>
      </w:r>
      <w:r>
        <w:t>.</w:t>
      </w:r>
      <w:r w:rsidRPr="00A6619D">
        <w:t>”</w:t>
      </w:r>
      <w:r>
        <w:t xml:space="preserve"> </w:t>
      </w:r>
      <w:proofErr w:type="gramStart"/>
      <w:r w:rsidRPr="00A6619D">
        <w:t>Ministry of Environment and Natural Resources</w:t>
      </w:r>
      <w:r>
        <w:t>.</w:t>
      </w:r>
      <w:proofErr w:type="gramEnd"/>
      <w:r>
        <w:t xml:space="preserve"> Mexico, D.F.: 2009</w:t>
      </w:r>
    </w:p>
  </w:footnote>
  <w:footnote w:id="53">
    <w:p w:rsidR="0095139D" w:rsidRDefault="0095139D" w:rsidP="00FC3A8B">
      <w:pPr>
        <w:pStyle w:val="EcoFootnote"/>
        <w:spacing w:after="240"/>
      </w:pPr>
      <w:r w:rsidRPr="008011EA">
        <w:rPr>
          <w:rStyle w:val="FootnoteReference"/>
        </w:rPr>
        <w:footnoteRef/>
      </w:r>
      <w:r>
        <w:t xml:space="preserve"> Robins et al.</w:t>
      </w:r>
      <w:r w:rsidRPr="007613D2">
        <w:t xml:space="preserve"> “A Global Green Recovery? </w:t>
      </w:r>
      <w:r>
        <w:t>Yes, but in 2010.” August 2009; and “Green stimulus measures,” EC-IILS Joint Discussion Paper Series No. 15, 2011, p. 12.</w:t>
      </w:r>
    </w:p>
  </w:footnote>
  <w:footnote w:id="54">
    <w:p w:rsidR="0095139D" w:rsidRDefault="0095139D" w:rsidP="00FC3A8B">
      <w:pPr>
        <w:pStyle w:val="EcoFootnote"/>
        <w:spacing w:after="240"/>
      </w:pPr>
      <w:r w:rsidRPr="008011EA">
        <w:rPr>
          <w:rStyle w:val="FootnoteReference"/>
        </w:rPr>
        <w:footnoteRef/>
      </w:r>
      <w:r>
        <w:t xml:space="preserve"> Ibid.</w:t>
      </w:r>
    </w:p>
  </w:footnote>
  <w:footnote w:id="55">
    <w:p w:rsidR="0095139D" w:rsidRDefault="0095139D" w:rsidP="00FC3A8B">
      <w:pPr>
        <w:pStyle w:val="EcoFootnote"/>
        <w:spacing w:after="240"/>
      </w:pPr>
      <w:r w:rsidRPr="008011EA">
        <w:rPr>
          <w:rStyle w:val="FootnoteReference"/>
        </w:rPr>
        <w:footnoteRef/>
      </w:r>
      <w:r>
        <w:t xml:space="preserve"> “Low-carbon development for Mexico,” Energy Sector Management Assistance Program, Low Carbon Growth Country Studies Program, Briefing Note 003/10, 2010, pp. 1-4. </w:t>
      </w:r>
    </w:p>
  </w:footnote>
  <w:footnote w:id="56">
    <w:p w:rsidR="0095139D" w:rsidRDefault="0095139D" w:rsidP="00FC3A8B">
      <w:pPr>
        <w:pStyle w:val="EcoFootnote"/>
        <w:spacing w:after="240"/>
      </w:pPr>
      <w:r w:rsidRPr="008011EA">
        <w:rPr>
          <w:rStyle w:val="FootnoteReference"/>
        </w:rPr>
        <w:footnoteRef/>
      </w:r>
      <w:r>
        <w:t xml:space="preserve"> </w:t>
      </w:r>
      <w:proofErr w:type="gramStart"/>
      <w:r>
        <w:t xml:space="preserve">OECD, </w:t>
      </w:r>
      <w:r w:rsidRPr="00D86F54">
        <w:rPr>
          <w:i/>
        </w:rPr>
        <w:t>Environmental Performance Reviews, Mexico 2013</w:t>
      </w:r>
      <w:r>
        <w:t>.</w:t>
      </w:r>
      <w:proofErr w:type="gramEnd"/>
      <w:r w:rsidRPr="005D6386">
        <w:t xml:space="preserve"> 2013</w:t>
      </w:r>
      <w:r>
        <w:t>.</w:t>
      </w:r>
    </w:p>
  </w:footnote>
  <w:footnote w:id="57">
    <w:p w:rsidR="0095139D" w:rsidRDefault="0095139D" w:rsidP="00FC3A8B">
      <w:pPr>
        <w:pStyle w:val="EcoFootnote"/>
        <w:spacing w:after="240"/>
      </w:pPr>
      <w:r w:rsidRPr="008011EA">
        <w:rPr>
          <w:rStyle w:val="FootnoteReference"/>
        </w:rPr>
        <w:footnoteRef/>
      </w:r>
      <w:r>
        <w:t xml:space="preserve"> World Bank. </w:t>
      </w:r>
      <w:proofErr w:type="gramStart"/>
      <w:r w:rsidRPr="00A6619D">
        <w:t>Program Information Documentation (PID) App</w:t>
      </w:r>
      <w:r>
        <w:t>raisal Stage.</w:t>
      </w:r>
      <w:proofErr w:type="gramEnd"/>
      <w:r>
        <w:t xml:space="preserve"> Report No. AB5003.</w:t>
      </w:r>
      <w:r w:rsidRPr="00A3531D">
        <w:t xml:space="preserve"> </w:t>
      </w:r>
      <w:r>
        <w:t>2009</w:t>
      </w:r>
      <w:r w:rsidRPr="00A6619D">
        <w:t xml:space="preserve">. </w:t>
      </w:r>
    </w:p>
  </w:footnote>
  <w:footnote w:id="58">
    <w:p w:rsidR="0095139D" w:rsidRDefault="0095139D" w:rsidP="00FC3A8B">
      <w:pPr>
        <w:pStyle w:val="EcoFootnote"/>
        <w:spacing w:after="240"/>
      </w:pPr>
      <w:r w:rsidRPr="008011EA">
        <w:rPr>
          <w:rStyle w:val="FootnoteReference"/>
        </w:rPr>
        <w:footnoteRef/>
      </w:r>
      <w:r>
        <w:t xml:space="preserve"> UNDESA. </w:t>
      </w:r>
      <w:r w:rsidRPr="00FC3A8B">
        <w:rPr>
          <w:i/>
        </w:rPr>
        <w:t>A guidebook to the Green Economy</w:t>
      </w:r>
      <w:r>
        <w:t xml:space="preserve">. </w:t>
      </w:r>
      <w:r w:rsidRPr="00A6619D">
        <w:t>http://sustainabledevelopment.un.org/conte</w:t>
      </w:r>
      <w:r>
        <w:t>nt/documents/GE%20Guidebook.pdf</w:t>
      </w:r>
    </w:p>
  </w:footnote>
  <w:footnote w:id="59">
    <w:p w:rsidR="0095139D" w:rsidRDefault="0095139D" w:rsidP="00FC3A8B">
      <w:pPr>
        <w:pStyle w:val="EcoFootnote"/>
        <w:spacing w:after="240"/>
      </w:pPr>
      <w:r w:rsidRPr="008011EA">
        <w:rPr>
          <w:rStyle w:val="FootnoteReference"/>
        </w:rPr>
        <w:footnoteRef/>
      </w:r>
      <w:r>
        <w:t xml:space="preserve"> REN21. </w:t>
      </w:r>
      <w:proofErr w:type="gramStart"/>
      <w:r w:rsidRPr="00FC3A8B">
        <w:rPr>
          <w:i/>
        </w:rPr>
        <w:t>Renewables 2013 Global Status Report</w:t>
      </w:r>
      <w:r>
        <w:t>.</w:t>
      </w:r>
      <w:proofErr w:type="gramEnd"/>
      <w:r>
        <w:t xml:space="preserve"> (Paris: REN21 Secretariat), 2013, pp. 17. </w:t>
      </w:r>
    </w:p>
  </w:footnote>
  <w:footnote w:id="60">
    <w:p w:rsidR="0095139D" w:rsidRDefault="0095139D" w:rsidP="00FC3A8B">
      <w:pPr>
        <w:pStyle w:val="EcoFootnote"/>
        <w:spacing w:after="240"/>
      </w:pPr>
      <w:r w:rsidRPr="008011EA">
        <w:rPr>
          <w:rStyle w:val="FootnoteReference"/>
        </w:rPr>
        <w:footnoteRef/>
      </w:r>
      <w:r>
        <w:t xml:space="preserve"> Ibid, p. 104-106.</w:t>
      </w:r>
    </w:p>
  </w:footnote>
  <w:footnote w:id="61">
    <w:p w:rsidR="0095139D" w:rsidRDefault="0095139D" w:rsidP="00FC3A8B">
      <w:pPr>
        <w:pStyle w:val="EcoFootnote"/>
        <w:spacing w:after="240"/>
      </w:pPr>
      <w:r w:rsidRPr="008011EA">
        <w:rPr>
          <w:rStyle w:val="FootnoteReference"/>
        </w:rPr>
        <w:footnoteRef/>
      </w:r>
      <w:r>
        <w:t xml:space="preserve"> Gordon et al. “The Green Industrial Revolution and the United States,” The Center for American Progress, December 2013. p. 13.</w:t>
      </w:r>
    </w:p>
  </w:footnote>
  <w:footnote w:id="62">
    <w:p w:rsidR="0095139D" w:rsidRDefault="0095139D" w:rsidP="00FC3A8B">
      <w:pPr>
        <w:pStyle w:val="EcoFootnote"/>
        <w:spacing w:after="240"/>
      </w:pPr>
      <w:r w:rsidRPr="008011EA">
        <w:rPr>
          <w:rStyle w:val="FootnoteReference"/>
        </w:rPr>
        <w:footnoteRef/>
      </w:r>
      <w:r>
        <w:t xml:space="preserve"> Pew Charitable Trusts. </w:t>
      </w:r>
      <w:r w:rsidRPr="00FC3A8B">
        <w:rPr>
          <w:i/>
        </w:rPr>
        <w:t xml:space="preserve">Who’s Winning the Clean Energy Race </w:t>
      </w:r>
      <w:proofErr w:type="gramStart"/>
      <w:r w:rsidRPr="00FC3A8B">
        <w:rPr>
          <w:i/>
        </w:rPr>
        <w:t>2012</w:t>
      </w:r>
      <w:r>
        <w:t>.</w:t>
      </w:r>
      <w:proofErr w:type="gramEnd"/>
      <w:r>
        <w:t xml:space="preserve"> 2012. </w:t>
      </w:r>
    </w:p>
  </w:footnote>
  <w:footnote w:id="63">
    <w:p w:rsidR="0095139D" w:rsidRDefault="0095139D" w:rsidP="00FC3A8B">
      <w:pPr>
        <w:pStyle w:val="EcoFootnote"/>
        <w:spacing w:after="240"/>
      </w:pPr>
      <w:r w:rsidRPr="008011EA">
        <w:rPr>
          <w:rStyle w:val="FootnoteReference"/>
        </w:rPr>
        <w:footnoteRef/>
      </w:r>
      <w:r>
        <w:t xml:space="preserve"> Ibid.</w:t>
      </w:r>
    </w:p>
  </w:footnote>
  <w:footnote w:id="64">
    <w:p w:rsidR="0095139D" w:rsidRDefault="0095139D" w:rsidP="00FC3A8B">
      <w:pPr>
        <w:pStyle w:val="EcoFootnote"/>
        <w:spacing w:after="240"/>
      </w:pPr>
      <w:r w:rsidRPr="008011EA">
        <w:rPr>
          <w:rStyle w:val="FootnoteReference"/>
        </w:rPr>
        <w:footnoteRef/>
      </w:r>
      <w:r>
        <w:t xml:space="preserve"> EIA. “Short-Term Energy Outlook,” Figure 25. 2013.</w:t>
      </w:r>
    </w:p>
  </w:footnote>
  <w:footnote w:id="65">
    <w:p w:rsidR="0095139D" w:rsidRDefault="0095139D" w:rsidP="00FC3A8B">
      <w:pPr>
        <w:pStyle w:val="EcoFootnote"/>
        <w:spacing w:after="240"/>
      </w:pPr>
      <w:r w:rsidRPr="008011EA">
        <w:rPr>
          <w:rStyle w:val="FootnoteReference"/>
        </w:rPr>
        <w:footnoteRef/>
      </w:r>
      <w:r>
        <w:t xml:space="preserve"> EPA</w:t>
      </w:r>
      <w:r w:rsidRPr="00BA71C5">
        <w:t xml:space="preserve">. “EPA and NHTSA Set Standards to Reduce Greenhouse Gases and Improve Fuel Economy for Model Years 2017-2025 Cars and </w:t>
      </w:r>
      <w:r>
        <w:t>Light Trucks,” August 2012.</w:t>
      </w:r>
    </w:p>
  </w:footnote>
  <w:footnote w:id="66">
    <w:p w:rsidR="0095139D" w:rsidRPr="00BA71C5" w:rsidRDefault="0095139D" w:rsidP="00FC3A8B">
      <w:pPr>
        <w:pStyle w:val="EcoFootnote"/>
        <w:spacing w:after="240"/>
        <w:rPr>
          <w:rFonts w:cs="MyriadPro-Regular"/>
          <w:sz w:val="20"/>
        </w:rPr>
      </w:pPr>
      <w:r w:rsidRPr="008011EA">
        <w:rPr>
          <w:rStyle w:val="FootnoteReference"/>
        </w:rPr>
        <w:footnoteRef/>
      </w:r>
      <w:r>
        <w:t xml:space="preserve"> </w:t>
      </w:r>
      <w:proofErr w:type="gramStart"/>
      <w:r w:rsidRPr="001620FB">
        <w:rPr>
          <w:rFonts w:cs="MyriadPro-Regular"/>
          <w:sz w:val="20"/>
        </w:rPr>
        <w:t>Bureau of Labor Statistics, “Employment in Green</w:t>
      </w:r>
      <w:r>
        <w:rPr>
          <w:rFonts w:cs="MyriadPro-Regular"/>
          <w:sz w:val="20"/>
        </w:rPr>
        <w:t xml:space="preserve"> </w:t>
      </w:r>
      <w:r w:rsidRPr="001620FB">
        <w:rPr>
          <w:rFonts w:cs="MyriadPro-Regular"/>
          <w:sz w:val="20"/>
        </w:rPr>
        <w:t>Goods and Services—2011” (2013), available at http://</w:t>
      </w:r>
      <w:r w:rsidRPr="001620FB">
        <w:rPr>
          <w:rFonts w:cs="MyriadPro-Regular"/>
        </w:rPr>
        <w:t>www.bls.gov/news.release/pdf/ggqcew.pdf.</w:t>
      </w:r>
      <w:proofErr w:type="gramEnd"/>
    </w:p>
  </w:footnote>
  <w:footnote w:id="67">
    <w:p w:rsidR="0095139D" w:rsidRDefault="0095139D" w:rsidP="00FC3A8B">
      <w:pPr>
        <w:pStyle w:val="EcoFootnote"/>
        <w:spacing w:after="240"/>
      </w:pPr>
      <w:r w:rsidRPr="008011EA">
        <w:rPr>
          <w:rStyle w:val="FootnoteReference"/>
        </w:rPr>
        <w:footnoteRef/>
      </w:r>
      <w:r>
        <w:t xml:space="preserve"> </w:t>
      </w:r>
      <w:proofErr w:type="spellStart"/>
      <w:proofErr w:type="gramStart"/>
      <w:r>
        <w:t>Muro</w:t>
      </w:r>
      <w:proofErr w:type="spellEnd"/>
      <w:r>
        <w:t xml:space="preserve"> et al. </w:t>
      </w:r>
      <w:r w:rsidRPr="00FC3A8B">
        <w:rPr>
          <w:i/>
        </w:rPr>
        <w:t>Sizing the Clean Economy</w:t>
      </w:r>
      <w:r>
        <w:t>.</w:t>
      </w:r>
      <w:proofErr w:type="gramEnd"/>
      <w:r>
        <w:t xml:space="preserve"> </w:t>
      </w:r>
      <w:proofErr w:type="gramStart"/>
      <w:r>
        <w:t>The Brookings Institution, 2011.</w:t>
      </w:r>
      <w:proofErr w:type="gramEnd"/>
    </w:p>
  </w:footnote>
  <w:footnote w:id="68">
    <w:p w:rsidR="0095139D" w:rsidRDefault="0095139D" w:rsidP="00FC3A8B">
      <w:pPr>
        <w:pStyle w:val="EcoFootnote"/>
        <w:spacing w:after="240"/>
      </w:pPr>
      <w:r w:rsidRPr="008011EA">
        <w:rPr>
          <w:rStyle w:val="FootnoteReference"/>
        </w:rPr>
        <w:footnoteRef/>
      </w:r>
      <w:r>
        <w:t xml:space="preserve"> Ibid, p. 4</w:t>
      </w:r>
    </w:p>
  </w:footnote>
  <w:footnote w:id="69">
    <w:p w:rsidR="0095139D" w:rsidRDefault="0095139D" w:rsidP="00FC3A8B">
      <w:pPr>
        <w:pStyle w:val="EcoFootnote"/>
        <w:spacing w:after="240"/>
      </w:pPr>
      <w:r w:rsidRPr="008011EA">
        <w:rPr>
          <w:rStyle w:val="FootnoteReference"/>
        </w:rPr>
        <w:footnoteRef/>
      </w:r>
      <w:r>
        <w:t xml:space="preserve"> </w:t>
      </w:r>
      <w:proofErr w:type="gramStart"/>
      <w:r>
        <w:t>Ibid, p. 4.</w:t>
      </w:r>
      <w:proofErr w:type="gramEnd"/>
    </w:p>
  </w:footnote>
  <w:footnote w:id="70">
    <w:p w:rsidR="0095139D" w:rsidRDefault="0095139D" w:rsidP="00FC3A8B">
      <w:pPr>
        <w:pStyle w:val="EcoFootnote"/>
        <w:spacing w:after="240"/>
      </w:pPr>
      <w:r w:rsidRPr="008011EA">
        <w:rPr>
          <w:rStyle w:val="FootnoteReference"/>
        </w:rPr>
        <w:footnoteRef/>
      </w:r>
      <w:r>
        <w:t xml:space="preserve"> </w:t>
      </w:r>
      <w:proofErr w:type="spellStart"/>
      <w:r>
        <w:t>Batelle</w:t>
      </w:r>
      <w:proofErr w:type="spellEnd"/>
      <w:r>
        <w:t xml:space="preserve">. </w:t>
      </w:r>
      <w:proofErr w:type="gramStart"/>
      <w:r w:rsidRPr="00FC3A8B">
        <w:rPr>
          <w:i/>
        </w:rPr>
        <w:t>2012 Global R&amp;D Funding Forecast</w:t>
      </w:r>
      <w:r>
        <w:t>.</w:t>
      </w:r>
      <w:proofErr w:type="gramEnd"/>
      <w:r>
        <w:t xml:space="preserve"> 2012. p. 3.</w:t>
      </w:r>
    </w:p>
  </w:footnote>
  <w:footnote w:id="71">
    <w:p w:rsidR="0095139D" w:rsidRPr="001620FB" w:rsidRDefault="0095139D" w:rsidP="00FC3A8B">
      <w:pPr>
        <w:pStyle w:val="EcoFootnote"/>
        <w:spacing w:after="240"/>
      </w:pPr>
      <w:r w:rsidRPr="008011EA">
        <w:rPr>
          <w:rStyle w:val="FootnoteReference"/>
        </w:rPr>
        <w:footnoteRef/>
      </w:r>
      <w:r w:rsidRPr="001620FB">
        <w:t xml:space="preserve"> </w:t>
      </w:r>
      <w:proofErr w:type="gramStart"/>
      <w:r w:rsidRPr="001620FB">
        <w:t>W</w:t>
      </w:r>
      <w:r>
        <w:t xml:space="preserve">orld </w:t>
      </w:r>
      <w:r w:rsidRPr="001620FB">
        <w:t>I</w:t>
      </w:r>
      <w:r>
        <w:t xml:space="preserve">ntellectual </w:t>
      </w:r>
      <w:r w:rsidRPr="001620FB">
        <w:t>P</w:t>
      </w:r>
      <w:r>
        <w:t xml:space="preserve">roperty </w:t>
      </w:r>
      <w:r w:rsidRPr="001620FB">
        <w:t>O</w:t>
      </w:r>
      <w:r>
        <w:t>rganization.</w:t>
      </w:r>
      <w:proofErr w:type="gramEnd"/>
      <w:r>
        <w:t xml:space="preserve"> </w:t>
      </w:r>
      <w:proofErr w:type="gramStart"/>
      <w:r w:rsidRPr="00FC3A8B">
        <w:rPr>
          <w:i/>
        </w:rPr>
        <w:t>World Intellectual Property Indicators 2013</w:t>
      </w:r>
      <w:r>
        <w:t>.</w:t>
      </w:r>
      <w:proofErr w:type="gramEnd"/>
      <w:r>
        <w:t xml:space="preserve"> </w:t>
      </w:r>
      <w:proofErr w:type="gramStart"/>
      <w:r>
        <w:t>2013,</w:t>
      </w:r>
      <w:r w:rsidRPr="001620FB">
        <w:t xml:space="preserve"> p. 72</w:t>
      </w:r>
      <w:r>
        <w:t>.</w:t>
      </w:r>
      <w:proofErr w:type="gramEnd"/>
    </w:p>
  </w:footnote>
  <w:footnote w:id="72">
    <w:p w:rsidR="0095139D" w:rsidRDefault="0095139D" w:rsidP="00FC3A8B">
      <w:pPr>
        <w:pStyle w:val="EcoFootnote"/>
        <w:spacing w:after="240"/>
      </w:pPr>
      <w:r w:rsidRPr="008011EA">
        <w:rPr>
          <w:rStyle w:val="FootnoteReference"/>
        </w:rPr>
        <w:footnoteRef/>
      </w:r>
      <w:r>
        <w:t xml:space="preserve"> REN21. </w:t>
      </w:r>
      <w:proofErr w:type="gramStart"/>
      <w:r w:rsidRPr="00FC3A8B">
        <w:rPr>
          <w:i/>
        </w:rPr>
        <w:t>Renewables 2013 Global Status Report</w:t>
      </w:r>
      <w:r>
        <w:t>.</w:t>
      </w:r>
      <w:proofErr w:type="gramEnd"/>
      <w:r>
        <w:t xml:space="preserve"> (Paris: REN21 Secretariat), 2013, p. 17.</w:t>
      </w:r>
    </w:p>
  </w:footnote>
  <w:footnote w:id="73">
    <w:p w:rsidR="0095139D" w:rsidRPr="00276958" w:rsidRDefault="0095139D" w:rsidP="00FC3A8B">
      <w:pPr>
        <w:pStyle w:val="EcoFootnote"/>
        <w:spacing w:after="240"/>
      </w:pPr>
      <w:r w:rsidRPr="008011EA">
        <w:rPr>
          <w:rStyle w:val="FootnoteReference"/>
        </w:rPr>
        <w:footnoteRef/>
      </w:r>
      <w:r w:rsidRPr="001620FB">
        <w:t xml:space="preserve"> </w:t>
      </w:r>
      <w:r w:rsidRPr="00E00063">
        <w:t xml:space="preserve">EV Obsession. “EV Lithium-Ion Battery List Topped By LG </w:t>
      </w:r>
      <w:proofErr w:type="spellStart"/>
      <w:r w:rsidRPr="00E00063">
        <w:t>Chem</w:t>
      </w:r>
      <w:proofErr w:type="spellEnd"/>
      <w:r w:rsidRPr="00E00063">
        <w:t xml:space="preserve">, Johnson Controls, &amp; AESC.” July 2013. </w:t>
      </w:r>
    </w:p>
  </w:footnote>
  <w:footnote w:id="74">
    <w:p w:rsidR="0095139D" w:rsidRDefault="0095139D" w:rsidP="00FC3A8B">
      <w:pPr>
        <w:pStyle w:val="EcoFootnote"/>
        <w:spacing w:after="240"/>
      </w:pPr>
      <w:r w:rsidRPr="008011EA">
        <w:rPr>
          <w:rStyle w:val="FootnoteReference"/>
        </w:rPr>
        <w:footnoteRef/>
      </w:r>
      <w:r>
        <w:t xml:space="preserve"> Gordon et al. “The Green Industrial Revolution and the United States,” The Center for American Progress, December 2013. p. 14.</w:t>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139D" w:rsidRDefault="0095139D" w:rsidP="008D1804">
    <w:pPr>
      <w:pStyle w:val="Header"/>
      <w:spacing w:after="360"/>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139D" w:rsidRDefault="0095139D" w:rsidP="008D1804">
    <w:pPr>
      <w:pStyle w:val="Header"/>
      <w:spacing w:after="360"/>
    </w:pP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139D" w:rsidRDefault="0095139D" w:rsidP="008D1804">
    <w:pPr>
      <w:pStyle w:val="Header"/>
      <w:spacing w:after="360"/>
    </w:pPr>
  </w:p>
</w:hdr>
</file>

<file path=word/header4.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139D" w:rsidRPr="00DF5244" w:rsidRDefault="0095139D" w:rsidP="008D1804">
    <w:pPr>
      <w:pStyle w:val="Header"/>
      <w:spacing w:after="360"/>
      <w:rPr>
        <w:szCs w:val="20"/>
      </w:rP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677A358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1D9E7A0E"/>
    <w:lvl w:ilvl="0">
      <w:start w:val="1"/>
      <w:numFmt w:val="decimal"/>
      <w:lvlText w:val="%1."/>
      <w:lvlJc w:val="left"/>
      <w:pPr>
        <w:tabs>
          <w:tab w:val="num" w:pos="1492"/>
        </w:tabs>
        <w:ind w:left="1492" w:hanging="360"/>
      </w:pPr>
    </w:lvl>
  </w:abstractNum>
  <w:abstractNum w:abstractNumId="2">
    <w:nsid w:val="FFFFFF7D"/>
    <w:multiLevelType w:val="singleLevel"/>
    <w:tmpl w:val="F0FC9C3C"/>
    <w:lvl w:ilvl="0">
      <w:start w:val="1"/>
      <w:numFmt w:val="decimal"/>
      <w:lvlText w:val="%1."/>
      <w:lvlJc w:val="left"/>
      <w:pPr>
        <w:tabs>
          <w:tab w:val="num" w:pos="1209"/>
        </w:tabs>
        <w:ind w:left="1209" w:hanging="360"/>
      </w:pPr>
    </w:lvl>
  </w:abstractNum>
  <w:abstractNum w:abstractNumId="3">
    <w:nsid w:val="FFFFFF7E"/>
    <w:multiLevelType w:val="singleLevel"/>
    <w:tmpl w:val="5448B1BC"/>
    <w:lvl w:ilvl="0">
      <w:start w:val="1"/>
      <w:numFmt w:val="decimal"/>
      <w:lvlText w:val="%1."/>
      <w:lvlJc w:val="left"/>
      <w:pPr>
        <w:tabs>
          <w:tab w:val="num" w:pos="926"/>
        </w:tabs>
        <w:ind w:left="926" w:hanging="360"/>
      </w:pPr>
    </w:lvl>
  </w:abstractNum>
  <w:abstractNum w:abstractNumId="4">
    <w:nsid w:val="FFFFFF7F"/>
    <w:multiLevelType w:val="singleLevel"/>
    <w:tmpl w:val="1D2EBFAA"/>
    <w:lvl w:ilvl="0">
      <w:start w:val="1"/>
      <w:numFmt w:val="decimal"/>
      <w:lvlText w:val="%1."/>
      <w:lvlJc w:val="left"/>
      <w:pPr>
        <w:tabs>
          <w:tab w:val="num" w:pos="643"/>
        </w:tabs>
        <w:ind w:left="643" w:hanging="360"/>
      </w:pPr>
    </w:lvl>
  </w:abstractNum>
  <w:abstractNum w:abstractNumId="5">
    <w:nsid w:val="FFFFFF80"/>
    <w:multiLevelType w:val="singleLevel"/>
    <w:tmpl w:val="89249F5E"/>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FB64D53A"/>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00B47682"/>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38580FC2"/>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741488E4"/>
    <w:lvl w:ilvl="0">
      <w:start w:val="1"/>
      <w:numFmt w:val="decimal"/>
      <w:lvlText w:val="%1."/>
      <w:lvlJc w:val="left"/>
      <w:pPr>
        <w:tabs>
          <w:tab w:val="num" w:pos="360"/>
        </w:tabs>
        <w:ind w:left="360" w:hanging="360"/>
      </w:pPr>
    </w:lvl>
  </w:abstractNum>
  <w:abstractNum w:abstractNumId="10">
    <w:nsid w:val="FFFFFF89"/>
    <w:multiLevelType w:val="singleLevel"/>
    <w:tmpl w:val="060C3316"/>
    <w:lvl w:ilvl="0">
      <w:start w:val="1"/>
      <w:numFmt w:val="bullet"/>
      <w:pStyle w:val="ListBullet"/>
      <w:lvlText w:val=""/>
      <w:lvlJc w:val="left"/>
      <w:pPr>
        <w:tabs>
          <w:tab w:val="num" w:pos="360"/>
        </w:tabs>
        <w:ind w:left="360" w:hanging="360"/>
      </w:pPr>
      <w:rPr>
        <w:rFonts w:ascii="Symbol" w:hAnsi="Symbol" w:hint="default"/>
      </w:rPr>
    </w:lvl>
  </w:abstractNum>
  <w:abstractNum w:abstractNumId="11">
    <w:nsid w:val="08B81F94"/>
    <w:multiLevelType w:val="hybridMultilevel"/>
    <w:tmpl w:val="55E82F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Time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Times"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Times"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099B3C08"/>
    <w:multiLevelType w:val="hybridMultilevel"/>
    <w:tmpl w:val="96549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E981DB5"/>
    <w:multiLevelType w:val="hybridMultilevel"/>
    <w:tmpl w:val="D9AE70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Time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Times"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Times"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0FA8428A"/>
    <w:multiLevelType w:val="hybridMultilevel"/>
    <w:tmpl w:val="807C8F3A"/>
    <w:lvl w:ilvl="0" w:tplc="E4D42A78">
      <w:start w:val="3"/>
      <w:numFmt w:val="bullet"/>
      <w:lvlText w:val="-"/>
      <w:lvlJc w:val="left"/>
      <w:pPr>
        <w:ind w:left="720" w:hanging="360"/>
      </w:pPr>
      <w:rPr>
        <w:rFonts w:ascii="Arial" w:eastAsia="Calibri" w:hAnsi="Arial" w:cs="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56F6752"/>
    <w:multiLevelType w:val="hybridMultilevel"/>
    <w:tmpl w:val="DFDA2892"/>
    <w:lvl w:ilvl="0" w:tplc="1576AE46">
      <w:start w:val="1"/>
      <w:numFmt w:val="decimal"/>
      <w:pStyle w:val="EcoBulletsNumbered"/>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27D6729C"/>
    <w:multiLevelType w:val="hybridMultilevel"/>
    <w:tmpl w:val="44EA41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Time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Times"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Times"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2A165B14"/>
    <w:multiLevelType w:val="hybridMultilevel"/>
    <w:tmpl w:val="EB7822B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2EBE6C6C"/>
    <w:multiLevelType w:val="hybridMultilevel"/>
    <w:tmpl w:val="92566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ime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F3A7F35"/>
    <w:multiLevelType w:val="hybridMultilevel"/>
    <w:tmpl w:val="ACC23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ime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5665147"/>
    <w:multiLevelType w:val="hybridMultilevel"/>
    <w:tmpl w:val="7D7EAEEC"/>
    <w:lvl w:ilvl="0" w:tplc="212CF1F4">
      <w:start w:val="1"/>
      <w:numFmt w:val="bullet"/>
      <w:pStyle w:val="EcoBullets"/>
      <w:lvlText w:val=""/>
      <w:lvlJc w:val="left"/>
      <w:pPr>
        <w:ind w:left="1064" w:hanging="360"/>
      </w:pPr>
      <w:rPr>
        <w:rFonts w:ascii="Wingdings" w:hAnsi="Wingdings" w:hint="default"/>
      </w:rPr>
    </w:lvl>
    <w:lvl w:ilvl="1" w:tplc="04070003" w:tentative="1">
      <w:start w:val="1"/>
      <w:numFmt w:val="bullet"/>
      <w:lvlText w:val="o"/>
      <w:lvlJc w:val="left"/>
      <w:pPr>
        <w:ind w:left="1436" w:hanging="360"/>
      </w:pPr>
      <w:rPr>
        <w:rFonts w:ascii="Courier New" w:hAnsi="Courier New" w:cs="Times" w:hint="default"/>
      </w:rPr>
    </w:lvl>
    <w:lvl w:ilvl="2" w:tplc="04070005" w:tentative="1">
      <w:start w:val="1"/>
      <w:numFmt w:val="bullet"/>
      <w:lvlText w:val=""/>
      <w:lvlJc w:val="left"/>
      <w:pPr>
        <w:ind w:left="2156" w:hanging="360"/>
      </w:pPr>
      <w:rPr>
        <w:rFonts w:ascii="Wingdings" w:hAnsi="Wingdings" w:hint="default"/>
      </w:rPr>
    </w:lvl>
    <w:lvl w:ilvl="3" w:tplc="04070001" w:tentative="1">
      <w:start w:val="1"/>
      <w:numFmt w:val="bullet"/>
      <w:lvlText w:val=""/>
      <w:lvlJc w:val="left"/>
      <w:pPr>
        <w:ind w:left="2876" w:hanging="360"/>
      </w:pPr>
      <w:rPr>
        <w:rFonts w:ascii="Symbol" w:hAnsi="Symbol" w:hint="default"/>
      </w:rPr>
    </w:lvl>
    <w:lvl w:ilvl="4" w:tplc="04070003" w:tentative="1">
      <w:start w:val="1"/>
      <w:numFmt w:val="bullet"/>
      <w:lvlText w:val="o"/>
      <w:lvlJc w:val="left"/>
      <w:pPr>
        <w:ind w:left="3596" w:hanging="360"/>
      </w:pPr>
      <w:rPr>
        <w:rFonts w:ascii="Courier New" w:hAnsi="Courier New" w:cs="Times" w:hint="default"/>
      </w:rPr>
    </w:lvl>
    <w:lvl w:ilvl="5" w:tplc="04070005" w:tentative="1">
      <w:start w:val="1"/>
      <w:numFmt w:val="bullet"/>
      <w:lvlText w:val=""/>
      <w:lvlJc w:val="left"/>
      <w:pPr>
        <w:ind w:left="4316" w:hanging="360"/>
      </w:pPr>
      <w:rPr>
        <w:rFonts w:ascii="Wingdings" w:hAnsi="Wingdings" w:hint="default"/>
      </w:rPr>
    </w:lvl>
    <w:lvl w:ilvl="6" w:tplc="04070001" w:tentative="1">
      <w:start w:val="1"/>
      <w:numFmt w:val="bullet"/>
      <w:lvlText w:val=""/>
      <w:lvlJc w:val="left"/>
      <w:pPr>
        <w:ind w:left="5036" w:hanging="360"/>
      </w:pPr>
      <w:rPr>
        <w:rFonts w:ascii="Symbol" w:hAnsi="Symbol" w:hint="default"/>
      </w:rPr>
    </w:lvl>
    <w:lvl w:ilvl="7" w:tplc="04070003" w:tentative="1">
      <w:start w:val="1"/>
      <w:numFmt w:val="bullet"/>
      <w:lvlText w:val="o"/>
      <w:lvlJc w:val="left"/>
      <w:pPr>
        <w:ind w:left="5756" w:hanging="360"/>
      </w:pPr>
      <w:rPr>
        <w:rFonts w:ascii="Courier New" w:hAnsi="Courier New" w:cs="Times" w:hint="default"/>
      </w:rPr>
    </w:lvl>
    <w:lvl w:ilvl="8" w:tplc="04070005" w:tentative="1">
      <w:start w:val="1"/>
      <w:numFmt w:val="bullet"/>
      <w:lvlText w:val=""/>
      <w:lvlJc w:val="left"/>
      <w:pPr>
        <w:ind w:left="6476" w:hanging="360"/>
      </w:pPr>
      <w:rPr>
        <w:rFonts w:ascii="Wingdings" w:hAnsi="Wingdings" w:hint="default"/>
      </w:rPr>
    </w:lvl>
  </w:abstractNum>
  <w:abstractNum w:abstractNumId="21">
    <w:nsid w:val="36DA0168"/>
    <w:multiLevelType w:val="hybridMultilevel"/>
    <w:tmpl w:val="290C0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ime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98013D1"/>
    <w:multiLevelType w:val="hybridMultilevel"/>
    <w:tmpl w:val="EB3CE1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Time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Times"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Times"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3A644477"/>
    <w:multiLevelType w:val="hybridMultilevel"/>
    <w:tmpl w:val="6A721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ime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EEF174C"/>
    <w:multiLevelType w:val="hybridMultilevel"/>
    <w:tmpl w:val="0DF00F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Time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Time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Times"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4EEA23C9"/>
    <w:multiLevelType w:val="hybridMultilevel"/>
    <w:tmpl w:val="0F8812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Time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Times"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Times"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508260E0"/>
    <w:multiLevelType w:val="hybridMultilevel"/>
    <w:tmpl w:val="9FB8EFB8"/>
    <w:lvl w:ilvl="0" w:tplc="76529E40">
      <w:start w:val="1"/>
      <w:numFmt w:val="bullet"/>
      <w:lvlText w:val=""/>
      <w:lvlJc w:val="left"/>
      <w:pPr>
        <w:ind w:left="360" w:hanging="360"/>
      </w:pPr>
      <w:rPr>
        <w:rFonts w:ascii="Wingdings" w:eastAsia="Calibri" w:hAnsi="Wingdings" w:cs="Times New Roman" w:hint="default"/>
      </w:rPr>
    </w:lvl>
    <w:lvl w:ilvl="1" w:tplc="04070003" w:tentative="1">
      <w:start w:val="1"/>
      <w:numFmt w:val="bullet"/>
      <w:lvlText w:val="o"/>
      <w:lvlJc w:val="left"/>
      <w:pPr>
        <w:ind w:left="1080" w:hanging="360"/>
      </w:pPr>
      <w:rPr>
        <w:rFonts w:ascii="Courier New" w:hAnsi="Courier New" w:cs="Times"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Times"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Times" w:hint="default"/>
      </w:rPr>
    </w:lvl>
    <w:lvl w:ilvl="8" w:tplc="04070005" w:tentative="1">
      <w:start w:val="1"/>
      <w:numFmt w:val="bullet"/>
      <w:lvlText w:val=""/>
      <w:lvlJc w:val="left"/>
      <w:pPr>
        <w:ind w:left="6120" w:hanging="360"/>
      </w:pPr>
      <w:rPr>
        <w:rFonts w:ascii="Wingdings" w:hAnsi="Wingdings" w:hint="default"/>
      </w:rPr>
    </w:lvl>
  </w:abstractNum>
  <w:abstractNum w:abstractNumId="27">
    <w:nsid w:val="51CA7F3A"/>
    <w:multiLevelType w:val="hybridMultilevel"/>
    <w:tmpl w:val="742E9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ime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CC06CA7"/>
    <w:multiLevelType w:val="hybridMultilevel"/>
    <w:tmpl w:val="42529B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Time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Times"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Times"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600D1011"/>
    <w:multiLevelType w:val="hybridMultilevel"/>
    <w:tmpl w:val="849A938E"/>
    <w:lvl w:ilvl="0" w:tplc="E00A84C8">
      <w:numFmt w:val="bullet"/>
      <w:lvlText w:val="-"/>
      <w:lvlJc w:val="left"/>
      <w:pPr>
        <w:ind w:left="360" w:hanging="360"/>
      </w:pPr>
      <w:rPr>
        <w:rFonts w:ascii="Calibri" w:eastAsia="Calibri" w:hAnsi="Calibri" w:cs="Times New Roman" w:hint="default"/>
      </w:rPr>
    </w:lvl>
    <w:lvl w:ilvl="1" w:tplc="04070003">
      <w:start w:val="1"/>
      <w:numFmt w:val="bullet"/>
      <w:lvlText w:val="o"/>
      <w:lvlJc w:val="left"/>
      <w:pPr>
        <w:ind w:left="1080" w:hanging="360"/>
      </w:pPr>
      <w:rPr>
        <w:rFonts w:ascii="Courier New" w:hAnsi="Courier New" w:cs="Times"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Times"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Times" w:hint="default"/>
      </w:rPr>
    </w:lvl>
    <w:lvl w:ilvl="8" w:tplc="04070005" w:tentative="1">
      <w:start w:val="1"/>
      <w:numFmt w:val="bullet"/>
      <w:lvlText w:val=""/>
      <w:lvlJc w:val="left"/>
      <w:pPr>
        <w:ind w:left="6120" w:hanging="360"/>
      </w:pPr>
      <w:rPr>
        <w:rFonts w:ascii="Wingdings" w:hAnsi="Wingdings" w:hint="default"/>
      </w:rPr>
    </w:lvl>
  </w:abstractNum>
  <w:abstractNum w:abstractNumId="30">
    <w:nsid w:val="61CD507D"/>
    <w:multiLevelType w:val="multilevel"/>
    <w:tmpl w:val="F49EF462"/>
    <w:lvl w:ilvl="0">
      <w:start w:val="1"/>
      <w:numFmt w:val="decimal"/>
      <w:lvlText w:val="%1"/>
      <w:lvlJc w:val="left"/>
      <w:pPr>
        <w:ind w:left="432" w:hanging="432"/>
      </w:pPr>
    </w:lvl>
    <w:lvl w:ilvl="1">
      <w:start w:val="1"/>
      <w:numFmt w:val="decimal"/>
      <w:lvlText w:val="%1.%2"/>
      <w:lvlJc w:val="left"/>
      <w:pPr>
        <w:ind w:left="860" w:hanging="576"/>
      </w:pPr>
    </w:lvl>
    <w:lvl w:ilvl="2">
      <w:start w:val="1"/>
      <w:numFmt w:val="decimal"/>
      <w:lvlText w:val="%1.%2.%3"/>
      <w:lvlJc w:val="left"/>
      <w:pPr>
        <w:ind w:left="2422"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1">
    <w:nsid w:val="62C26DB2"/>
    <w:multiLevelType w:val="multilevel"/>
    <w:tmpl w:val="F49EF462"/>
    <w:lvl w:ilvl="0">
      <w:start w:val="1"/>
      <w:numFmt w:val="decimal"/>
      <w:pStyle w:val="Heading1"/>
      <w:lvlText w:val="%1"/>
      <w:lvlJc w:val="left"/>
      <w:pPr>
        <w:ind w:left="432" w:hanging="432"/>
      </w:pPr>
    </w:lvl>
    <w:lvl w:ilvl="1">
      <w:start w:val="1"/>
      <w:numFmt w:val="decimal"/>
      <w:pStyle w:val="Heading2"/>
      <w:lvlText w:val="%1.%2"/>
      <w:lvlJc w:val="left"/>
      <w:pPr>
        <w:ind w:left="860" w:hanging="576"/>
      </w:pPr>
    </w:lvl>
    <w:lvl w:ilvl="2">
      <w:start w:val="1"/>
      <w:numFmt w:val="decimal"/>
      <w:pStyle w:val="Heading3"/>
      <w:lvlText w:val="%1.%2.%3"/>
      <w:lvlJc w:val="left"/>
      <w:pPr>
        <w:ind w:left="2422"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2">
    <w:nsid w:val="66F51A25"/>
    <w:multiLevelType w:val="hybridMultilevel"/>
    <w:tmpl w:val="6B7A98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Time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Times"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Times" w:hint="default"/>
      </w:rPr>
    </w:lvl>
    <w:lvl w:ilvl="8" w:tplc="04070005" w:tentative="1">
      <w:start w:val="1"/>
      <w:numFmt w:val="bullet"/>
      <w:lvlText w:val=""/>
      <w:lvlJc w:val="left"/>
      <w:pPr>
        <w:ind w:left="6480" w:hanging="360"/>
      </w:pPr>
      <w:rPr>
        <w:rFonts w:ascii="Wingdings" w:hAnsi="Wingdings" w:hint="default"/>
      </w:rPr>
    </w:lvl>
  </w:abstractNum>
  <w:abstractNum w:abstractNumId="33">
    <w:nsid w:val="6A2C5883"/>
    <w:multiLevelType w:val="hybridMultilevel"/>
    <w:tmpl w:val="C58E6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ime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D5E025D"/>
    <w:multiLevelType w:val="hybridMultilevel"/>
    <w:tmpl w:val="8CF64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ime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A0B4138"/>
    <w:multiLevelType w:val="hybridMultilevel"/>
    <w:tmpl w:val="FD52F1F2"/>
    <w:lvl w:ilvl="0" w:tplc="4B905512">
      <w:start w:val="3"/>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Time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32"/>
  </w:num>
  <w:num w:numId="3">
    <w:abstractNumId w:val="22"/>
  </w:num>
  <w:num w:numId="4">
    <w:abstractNumId w:val="25"/>
  </w:num>
  <w:num w:numId="5">
    <w:abstractNumId w:val="31"/>
  </w:num>
  <w:num w:numId="6">
    <w:abstractNumId w:val="20"/>
  </w:num>
  <w:num w:numId="7">
    <w:abstractNumId w:val="29"/>
  </w:num>
  <w:num w:numId="8">
    <w:abstractNumId w:val="26"/>
  </w:num>
  <w:num w:numId="9">
    <w:abstractNumId w:val="31"/>
  </w:num>
  <w:num w:numId="10">
    <w:abstractNumId w:val="20"/>
  </w:num>
  <w:num w:numId="11">
    <w:abstractNumId w:val="31"/>
  </w:num>
  <w:num w:numId="12">
    <w:abstractNumId w:val="31"/>
  </w:num>
  <w:num w:numId="13">
    <w:abstractNumId w:val="17"/>
  </w:num>
  <w:num w:numId="14">
    <w:abstractNumId w:val="15"/>
  </w:num>
  <w:num w:numId="15">
    <w:abstractNumId w:val="31"/>
  </w:num>
  <w:num w:numId="16">
    <w:abstractNumId w:val="12"/>
  </w:num>
  <w:num w:numId="17">
    <w:abstractNumId w:val="14"/>
  </w:num>
  <w:num w:numId="18">
    <w:abstractNumId w:val="16"/>
  </w:num>
  <w:num w:numId="19">
    <w:abstractNumId w:val="11"/>
  </w:num>
  <w:num w:numId="20">
    <w:abstractNumId w:val="28"/>
  </w:num>
  <w:num w:numId="21">
    <w:abstractNumId w:val="18"/>
  </w:num>
  <w:num w:numId="22">
    <w:abstractNumId w:val="19"/>
  </w:num>
  <w:num w:numId="23">
    <w:abstractNumId w:val="23"/>
  </w:num>
  <w:num w:numId="24">
    <w:abstractNumId w:val="34"/>
  </w:num>
  <w:num w:numId="25">
    <w:abstractNumId w:val="27"/>
  </w:num>
  <w:num w:numId="26">
    <w:abstractNumId w:val="21"/>
  </w:num>
  <w:num w:numId="27">
    <w:abstractNumId w:val="35"/>
  </w:num>
  <w:num w:numId="28">
    <w:abstractNumId w:val="33"/>
  </w:num>
  <w:num w:numId="29">
    <w:abstractNumId w:val="24"/>
  </w:num>
  <w:num w:numId="30">
    <w:abstractNumId w:val="10"/>
  </w:num>
  <w:num w:numId="31">
    <w:abstractNumId w:val="8"/>
  </w:num>
  <w:num w:numId="32">
    <w:abstractNumId w:val="7"/>
  </w:num>
  <w:num w:numId="33">
    <w:abstractNumId w:val="6"/>
  </w:num>
  <w:num w:numId="34">
    <w:abstractNumId w:val="5"/>
  </w:num>
  <w:num w:numId="35">
    <w:abstractNumId w:val="9"/>
  </w:num>
  <w:num w:numId="36">
    <w:abstractNumId w:val="4"/>
  </w:num>
  <w:num w:numId="37">
    <w:abstractNumId w:val="3"/>
  </w:num>
  <w:num w:numId="38">
    <w:abstractNumId w:val="2"/>
  </w:num>
  <w:num w:numId="39">
    <w:abstractNumId w:val="1"/>
  </w:num>
  <w:num w:numId="40">
    <w:abstractNumId w:val="0"/>
  </w:num>
  <w:num w:numId="41">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oNotTrackMoves/>
  <w:defaultTabStop w:val="708"/>
  <w:hyphenationZone w:val="425"/>
  <w:characterSpacingControl w:val="doNotCompress"/>
  <w:savePreviewPicture/>
  <w:hdrShapeDefaults>
    <o:shapedefaults v:ext="edit" spidmax="4098"/>
  </w:hdrShapeDefaults>
  <w:footnotePr>
    <w:footnote w:id="-1"/>
    <w:footnote w:id="0"/>
  </w:footnotePr>
  <w:endnotePr>
    <w:endnote w:id="-1"/>
    <w:endnote w:id="0"/>
  </w:endnotePr>
  <w:compat/>
  <w:rsids>
    <w:rsidRoot w:val="00D54864"/>
    <w:rsid w:val="00004377"/>
    <w:rsid w:val="00016C1F"/>
    <w:rsid w:val="00024B34"/>
    <w:rsid w:val="00026D98"/>
    <w:rsid w:val="00027322"/>
    <w:rsid w:val="00027D61"/>
    <w:rsid w:val="00036B57"/>
    <w:rsid w:val="00047351"/>
    <w:rsid w:val="00053139"/>
    <w:rsid w:val="0005576E"/>
    <w:rsid w:val="000639A7"/>
    <w:rsid w:val="00072352"/>
    <w:rsid w:val="000B10D3"/>
    <w:rsid w:val="000C5ADF"/>
    <w:rsid w:val="000D1D3E"/>
    <w:rsid w:val="000F405C"/>
    <w:rsid w:val="000F699D"/>
    <w:rsid w:val="00101620"/>
    <w:rsid w:val="00113351"/>
    <w:rsid w:val="00116136"/>
    <w:rsid w:val="00116494"/>
    <w:rsid w:val="00122040"/>
    <w:rsid w:val="0014179E"/>
    <w:rsid w:val="001543D9"/>
    <w:rsid w:val="001661DA"/>
    <w:rsid w:val="00173BEA"/>
    <w:rsid w:val="0018207C"/>
    <w:rsid w:val="001934BB"/>
    <w:rsid w:val="00196AF0"/>
    <w:rsid w:val="001A1998"/>
    <w:rsid w:val="001A2024"/>
    <w:rsid w:val="001A34B8"/>
    <w:rsid w:val="001A46FF"/>
    <w:rsid w:val="001A5902"/>
    <w:rsid w:val="001B5CC8"/>
    <w:rsid w:val="001C3C0F"/>
    <w:rsid w:val="001E1B13"/>
    <w:rsid w:val="001E4E3E"/>
    <w:rsid w:val="001E5688"/>
    <w:rsid w:val="001E5859"/>
    <w:rsid w:val="001F0A3F"/>
    <w:rsid w:val="00203FE9"/>
    <w:rsid w:val="00212827"/>
    <w:rsid w:val="00212862"/>
    <w:rsid w:val="002141BB"/>
    <w:rsid w:val="00216411"/>
    <w:rsid w:val="00222AA8"/>
    <w:rsid w:val="0024357F"/>
    <w:rsid w:val="00251C48"/>
    <w:rsid w:val="002571D1"/>
    <w:rsid w:val="002679CD"/>
    <w:rsid w:val="0027518A"/>
    <w:rsid w:val="00276958"/>
    <w:rsid w:val="002A36A3"/>
    <w:rsid w:val="002A55B4"/>
    <w:rsid w:val="002B2603"/>
    <w:rsid w:val="002B5D5E"/>
    <w:rsid w:val="002B6087"/>
    <w:rsid w:val="002D038A"/>
    <w:rsid w:val="002D1F85"/>
    <w:rsid w:val="002F41C9"/>
    <w:rsid w:val="002F69B9"/>
    <w:rsid w:val="00314953"/>
    <w:rsid w:val="00317AB4"/>
    <w:rsid w:val="00326CA2"/>
    <w:rsid w:val="00326ECF"/>
    <w:rsid w:val="00332C83"/>
    <w:rsid w:val="00362235"/>
    <w:rsid w:val="00366B4D"/>
    <w:rsid w:val="003777D9"/>
    <w:rsid w:val="00384499"/>
    <w:rsid w:val="0038791E"/>
    <w:rsid w:val="00394AD0"/>
    <w:rsid w:val="00394BB8"/>
    <w:rsid w:val="003A6F29"/>
    <w:rsid w:val="003B7343"/>
    <w:rsid w:val="003C2C49"/>
    <w:rsid w:val="003F56C2"/>
    <w:rsid w:val="004207A0"/>
    <w:rsid w:val="0042475D"/>
    <w:rsid w:val="00430709"/>
    <w:rsid w:val="00430CF0"/>
    <w:rsid w:val="00435CED"/>
    <w:rsid w:val="004442DC"/>
    <w:rsid w:val="00446819"/>
    <w:rsid w:val="00451388"/>
    <w:rsid w:val="00452FC9"/>
    <w:rsid w:val="00474CB5"/>
    <w:rsid w:val="0048025F"/>
    <w:rsid w:val="00481ECC"/>
    <w:rsid w:val="0049486A"/>
    <w:rsid w:val="004A4EF9"/>
    <w:rsid w:val="004B3A0D"/>
    <w:rsid w:val="004F1AE2"/>
    <w:rsid w:val="0050148C"/>
    <w:rsid w:val="00503F5D"/>
    <w:rsid w:val="005108D2"/>
    <w:rsid w:val="00510E93"/>
    <w:rsid w:val="0051400E"/>
    <w:rsid w:val="00514DC1"/>
    <w:rsid w:val="00521054"/>
    <w:rsid w:val="005256BE"/>
    <w:rsid w:val="00535FC6"/>
    <w:rsid w:val="005363C7"/>
    <w:rsid w:val="00550DD9"/>
    <w:rsid w:val="00555A4B"/>
    <w:rsid w:val="00557E18"/>
    <w:rsid w:val="00565D9E"/>
    <w:rsid w:val="00571079"/>
    <w:rsid w:val="0058553A"/>
    <w:rsid w:val="0059035E"/>
    <w:rsid w:val="005939F1"/>
    <w:rsid w:val="00597EC4"/>
    <w:rsid w:val="005A083D"/>
    <w:rsid w:val="005A7896"/>
    <w:rsid w:val="005B361E"/>
    <w:rsid w:val="005D159C"/>
    <w:rsid w:val="005D3540"/>
    <w:rsid w:val="005D3EB3"/>
    <w:rsid w:val="005D6386"/>
    <w:rsid w:val="005D7C19"/>
    <w:rsid w:val="005E1F7F"/>
    <w:rsid w:val="005E3F1F"/>
    <w:rsid w:val="005E73B5"/>
    <w:rsid w:val="005F4A30"/>
    <w:rsid w:val="005F5EC1"/>
    <w:rsid w:val="00605753"/>
    <w:rsid w:val="006104D5"/>
    <w:rsid w:val="00636BE5"/>
    <w:rsid w:val="006454DB"/>
    <w:rsid w:val="00646211"/>
    <w:rsid w:val="00647FEE"/>
    <w:rsid w:val="0065119A"/>
    <w:rsid w:val="00653F93"/>
    <w:rsid w:val="006656EE"/>
    <w:rsid w:val="006A1F4F"/>
    <w:rsid w:val="006A3159"/>
    <w:rsid w:val="006A67FA"/>
    <w:rsid w:val="006C126E"/>
    <w:rsid w:val="006C2657"/>
    <w:rsid w:val="006E2F74"/>
    <w:rsid w:val="006E7766"/>
    <w:rsid w:val="006F1F71"/>
    <w:rsid w:val="006F6028"/>
    <w:rsid w:val="00710BA3"/>
    <w:rsid w:val="00723DEA"/>
    <w:rsid w:val="00725567"/>
    <w:rsid w:val="00727B4F"/>
    <w:rsid w:val="0073218A"/>
    <w:rsid w:val="007429C8"/>
    <w:rsid w:val="007611DD"/>
    <w:rsid w:val="00765114"/>
    <w:rsid w:val="007746ED"/>
    <w:rsid w:val="0078734B"/>
    <w:rsid w:val="00792CE4"/>
    <w:rsid w:val="00793540"/>
    <w:rsid w:val="007942FA"/>
    <w:rsid w:val="007952C5"/>
    <w:rsid w:val="007B387C"/>
    <w:rsid w:val="007C049B"/>
    <w:rsid w:val="007E135A"/>
    <w:rsid w:val="007E4B59"/>
    <w:rsid w:val="007E7323"/>
    <w:rsid w:val="007E7DAA"/>
    <w:rsid w:val="007F1B9B"/>
    <w:rsid w:val="007F40D1"/>
    <w:rsid w:val="008011EA"/>
    <w:rsid w:val="00802929"/>
    <w:rsid w:val="00805696"/>
    <w:rsid w:val="008159EF"/>
    <w:rsid w:val="00816CA7"/>
    <w:rsid w:val="00847DDA"/>
    <w:rsid w:val="00854225"/>
    <w:rsid w:val="00864FD6"/>
    <w:rsid w:val="00871318"/>
    <w:rsid w:val="00873830"/>
    <w:rsid w:val="00886D27"/>
    <w:rsid w:val="008A08A6"/>
    <w:rsid w:val="008B1312"/>
    <w:rsid w:val="008B19BC"/>
    <w:rsid w:val="008B4CEA"/>
    <w:rsid w:val="008C6C36"/>
    <w:rsid w:val="008D1804"/>
    <w:rsid w:val="008E2174"/>
    <w:rsid w:val="008F0C85"/>
    <w:rsid w:val="009051E6"/>
    <w:rsid w:val="009337A2"/>
    <w:rsid w:val="00933AC0"/>
    <w:rsid w:val="0095139D"/>
    <w:rsid w:val="00957970"/>
    <w:rsid w:val="009665BB"/>
    <w:rsid w:val="0097197A"/>
    <w:rsid w:val="00974BBB"/>
    <w:rsid w:val="009775D7"/>
    <w:rsid w:val="00983D36"/>
    <w:rsid w:val="00985E8D"/>
    <w:rsid w:val="0098732F"/>
    <w:rsid w:val="009A4656"/>
    <w:rsid w:val="009B09AE"/>
    <w:rsid w:val="009B1FC3"/>
    <w:rsid w:val="009B3A4A"/>
    <w:rsid w:val="009B5354"/>
    <w:rsid w:val="009F0CE9"/>
    <w:rsid w:val="009F79E8"/>
    <w:rsid w:val="00A024BB"/>
    <w:rsid w:val="00A03D93"/>
    <w:rsid w:val="00A20152"/>
    <w:rsid w:val="00A22513"/>
    <w:rsid w:val="00A3468E"/>
    <w:rsid w:val="00A3531D"/>
    <w:rsid w:val="00A353A5"/>
    <w:rsid w:val="00A42324"/>
    <w:rsid w:val="00A54374"/>
    <w:rsid w:val="00A63D28"/>
    <w:rsid w:val="00A725DD"/>
    <w:rsid w:val="00A94E70"/>
    <w:rsid w:val="00A952A4"/>
    <w:rsid w:val="00AA36B3"/>
    <w:rsid w:val="00AA4049"/>
    <w:rsid w:val="00AB660D"/>
    <w:rsid w:val="00AD1BBA"/>
    <w:rsid w:val="00AE3256"/>
    <w:rsid w:val="00AE6454"/>
    <w:rsid w:val="00AF37AC"/>
    <w:rsid w:val="00AF7738"/>
    <w:rsid w:val="00B11F1A"/>
    <w:rsid w:val="00B174D1"/>
    <w:rsid w:val="00B22964"/>
    <w:rsid w:val="00B33059"/>
    <w:rsid w:val="00B37794"/>
    <w:rsid w:val="00B4196E"/>
    <w:rsid w:val="00B46A29"/>
    <w:rsid w:val="00B511CE"/>
    <w:rsid w:val="00B657A1"/>
    <w:rsid w:val="00B665E0"/>
    <w:rsid w:val="00B746F6"/>
    <w:rsid w:val="00B835CF"/>
    <w:rsid w:val="00B84EFA"/>
    <w:rsid w:val="00B85243"/>
    <w:rsid w:val="00B92221"/>
    <w:rsid w:val="00B93FC8"/>
    <w:rsid w:val="00BA71C5"/>
    <w:rsid w:val="00BB7B60"/>
    <w:rsid w:val="00BD0538"/>
    <w:rsid w:val="00BD6216"/>
    <w:rsid w:val="00BD7958"/>
    <w:rsid w:val="00BE5846"/>
    <w:rsid w:val="00BE7E88"/>
    <w:rsid w:val="00BF1581"/>
    <w:rsid w:val="00BF64CC"/>
    <w:rsid w:val="00C060F9"/>
    <w:rsid w:val="00C175B6"/>
    <w:rsid w:val="00C17BAC"/>
    <w:rsid w:val="00C219AD"/>
    <w:rsid w:val="00C23ADE"/>
    <w:rsid w:val="00C32840"/>
    <w:rsid w:val="00C41B78"/>
    <w:rsid w:val="00C45DFB"/>
    <w:rsid w:val="00C5011F"/>
    <w:rsid w:val="00C7570F"/>
    <w:rsid w:val="00CB375A"/>
    <w:rsid w:val="00CB721A"/>
    <w:rsid w:val="00CC1C3C"/>
    <w:rsid w:val="00CC58CF"/>
    <w:rsid w:val="00CC5CEF"/>
    <w:rsid w:val="00CD0180"/>
    <w:rsid w:val="00CD65D0"/>
    <w:rsid w:val="00CD6A6E"/>
    <w:rsid w:val="00CE2AF0"/>
    <w:rsid w:val="00CE3139"/>
    <w:rsid w:val="00CF1687"/>
    <w:rsid w:val="00CF1743"/>
    <w:rsid w:val="00D047F7"/>
    <w:rsid w:val="00D1495E"/>
    <w:rsid w:val="00D25CC7"/>
    <w:rsid w:val="00D27FD9"/>
    <w:rsid w:val="00D3340A"/>
    <w:rsid w:val="00D5211B"/>
    <w:rsid w:val="00D54864"/>
    <w:rsid w:val="00D57333"/>
    <w:rsid w:val="00D60F83"/>
    <w:rsid w:val="00D66D87"/>
    <w:rsid w:val="00D7553F"/>
    <w:rsid w:val="00D867C5"/>
    <w:rsid w:val="00D86F54"/>
    <w:rsid w:val="00D87529"/>
    <w:rsid w:val="00D95AAA"/>
    <w:rsid w:val="00DB4303"/>
    <w:rsid w:val="00DE67A5"/>
    <w:rsid w:val="00DF4B0C"/>
    <w:rsid w:val="00DF696C"/>
    <w:rsid w:val="00E00063"/>
    <w:rsid w:val="00E030CB"/>
    <w:rsid w:val="00E04A13"/>
    <w:rsid w:val="00E11D8C"/>
    <w:rsid w:val="00E17838"/>
    <w:rsid w:val="00E17D16"/>
    <w:rsid w:val="00E22989"/>
    <w:rsid w:val="00E41421"/>
    <w:rsid w:val="00E46086"/>
    <w:rsid w:val="00E61E8D"/>
    <w:rsid w:val="00E83F9C"/>
    <w:rsid w:val="00E9560B"/>
    <w:rsid w:val="00EA3EDB"/>
    <w:rsid w:val="00EA4FE5"/>
    <w:rsid w:val="00EA7A58"/>
    <w:rsid w:val="00ED46FE"/>
    <w:rsid w:val="00ED72A7"/>
    <w:rsid w:val="00ED72E3"/>
    <w:rsid w:val="00EE4563"/>
    <w:rsid w:val="00F00CF2"/>
    <w:rsid w:val="00F0218D"/>
    <w:rsid w:val="00F05355"/>
    <w:rsid w:val="00F06404"/>
    <w:rsid w:val="00F307EA"/>
    <w:rsid w:val="00F32A52"/>
    <w:rsid w:val="00F43482"/>
    <w:rsid w:val="00F44462"/>
    <w:rsid w:val="00F65B1E"/>
    <w:rsid w:val="00F671AE"/>
    <w:rsid w:val="00F84419"/>
    <w:rsid w:val="00FA3788"/>
    <w:rsid w:val="00FA63CA"/>
    <w:rsid w:val="00FA767A"/>
    <w:rsid w:val="00FC3A8B"/>
  </w:rsids>
  <m:mathPr>
    <m:mathFont m:val="Lucida Grande"/>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4"/>
        <w:szCs w:val="24"/>
        <w:lang w:val="en-US" w:eastAsia="en-US" w:bidi="ar-SA"/>
      </w:rPr>
    </w:rPrDefault>
    <w:pPrDefault/>
  </w:docDefaults>
  <w:latentStyles w:defLockedState="0" w:defUIPriority="0" w:defSemiHidden="0" w:defUnhideWhenUsed="0" w:defQFormat="0" w:count="276">
    <w:lsdException w:name="table of figures" w:uiPriority="99"/>
  </w:latentStyles>
  <w:style w:type="paragraph" w:default="1" w:styleId="Normal">
    <w:name w:val="Normal"/>
    <w:qFormat/>
    <w:rsid w:val="00B673A5"/>
    <w:pPr>
      <w:spacing w:before="120" w:after="120" w:line="276" w:lineRule="auto"/>
      <w:jc w:val="both"/>
    </w:pPr>
    <w:rPr>
      <w:rFonts w:ascii="Arial" w:hAnsi="Arial"/>
      <w:sz w:val="22"/>
      <w:szCs w:val="22"/>
    </w:rPr>
  </w:style>
  <w:style w:type="paragraph" w:styleId="Heading1">
    <w:name w:val="heading 1"/>
    <w:basedOn w:val="Normal"/>
    <w:next w:val="Normal"/>
    <w:link w:val="Heading1Char"/>
    <w:qFormat/>
    <w:rsid w:val="0078734B"/>
    <w:pPr>
      <w:keepNext/>
      <w:pageBreakBefore/>
      <w:numPr>
        <w:numId w:val="5"/>
      </w:numPr>
      <w:spacing w:beforeLines="200" w:after="360" w:line="240" w:lineRule="auto"/>
      <w:ind w:left="431" w:hanging="431"/>
      <w:jc w:val="left"/>
      <w:outlineLvl w:val="0"/>
    </w:pPr>
    <w:rPr>
      <w:rFonts w:ascii="Gill Sans MT" w:hAnsi="Gill Sans MT"/>
      <w:bCs/>
      <w:color w:val="182983"/>
      <w:kern w:val="32"/>
      <w:sz w:val="40"/>
      <w:szCs w:val="44"/>
    </w:rPr>
  </w:style>
  <w:style w:type="paragraph" w:styleId="Heading2">
    <w:name w:val="heading 2"/>
    <w:basedOn w:val="Normal"/>
    <w:next w:val="Normal"/>
    <w:link w:val="Heading2Char"/>
    <w:unhideWhenUsed/>
    <w:qFormat/>
    <w:rsid w:val="00E139F7"/>
    <w:pPr>
      <w:keepNext/>
      <w:numPr>
        <w:ilvl w:val="1"/>
        <w:numId w:val="5"/>
      </w:numPr>
      <w:spacing w:beforeLines="200" w:after="150" w:line="240" w:lineRule="auto"/>
      <w:ind w:left="578" w:hanging="578"/>
      <w:jc w:val="left"/>
      <w:outlineLvl w:val="1"/>
    </w:pPr>
    <w:rPr>
      <w:rFonts w:ascii="Gill Sans MT" w:hAnsi="Gill Sans MT"/>
      <w:bCs/>
      <w:iCs/>
      <w:color w:val="182983"/>
      <w:sz w:val="32"/>
      <w:szCs w:val="36"/>
    </w:rPr>
  </w:style>
  <w:style w:type="paragraph" w:styleId="Heading3">
    <w:name w:val="heading 3"/>
    <w:basedOn w:val="Normal"/>
    <w:next w:val="Normal"/>
    <w:link w:val="Heading3Char"/>
    <w:unhideWhenUsed/>
    <w:qFormat/>
    <w:rsid w:val="005E1C1F"/>
    <w:pPr>
      <w:keepNext/>
      <w:numPr>
        <w:ilvl w:val="2"/>
        <w:numId w:val="5"/>
      </w:numPr>
      <w:spacing w:beforeLines="150" w:after="360" w:line="240" w:lineRule="auto"/>
      <w:ind w:left="720"/>
      <w:outlineLvl w:val="2"/>
    </w:pPr>
    <w:rPr>
      <w:rFonts w:ascii="Gill Sans MT" w:hAnsi="Gill Sans MT"/>
      <w:bCs/>
      <w:color w:val="182983"/>
      <w:sz w:val="28"/>
      <w:szCs w:val="32"/>
    </w:rPr>
  </w:style>
  <w:style w:type="paragraph" w:styleId="Heading4">
    <w:name w:val="heading 4"/>
    <w:next w:val="Normal"/>
    <w:link w:val="Heading4Char"/>
    <w:uiPriority w:val="9"/>
    <w:unhideWhenUsed/>
    <w:qFormat/>
    <w:rsid w:val="005E1C1F"/>
    <w:pPr>
      <w:spacing w:before="240" w:after="120"/>
      <w:outlineLvl w:val="3"/>
    </w:pPr>
    <w:rPr>
      <w:rFonts w:ascii="Gill Sans MT" w:hAnsi="Gill Sans MT"/>
      <w:color w:val="182983"/>
      <w:szCs w:val="28"/>
    </w:rPr>
  </w:style>
  <w:style w:type="paragraph" w:styleId="Heading5">
    <w:name w:val="heading 5"/>
    <w:basedOn w:val="Normal"/>
    <w:next w:val="Normal"/>
    <w:link w:val="Heading5Char"/>
    <w:uiPriority w:val="9"/>
    <w:semiHidden/>
    <w:unhideWhenUsed/>
    <w:qFormat/>
    <w:rsid w:val="00001B35"/>
    <w:pPr>
      <w:numPr>
        <w:ilvl w:val="4"/>
        <w:numId w:val="5"/>
      </w:numPr>
      <w:spacing w:after="60"/>
      <w:jc w:val="left"/>
      <w:outlineLvl w:val="4"/>
    </w:pPr>
    <w:rPr>
      <w:rFonts w:ascii="Gill Sans MT" w:hAnsi="Gill Sans MT"/>
      <w:b/>
      <w:bCs/>
      <w:i/>
      <w:iCs/>
      <w:sz w:val="26"/>
      <w:szCs w:val="26"/>
    </w:rPr>
  </w:style>
  <w:style w:type="paragraph" w:styleId="Heading6">
    <w:name w:val="heading 6"/>
    <w:basedOn w:val="Normal"/>
    <w:next w:val="Normal"/>
    <w:link w:val="Heading6Char"/>
    <w:uiPriority w:val="9"/>
    <w:semiHidden/>
    <w:unhideWhenUsed/>
    <w:qFormat/>
    <w:rsid w:val="00001B35"/>
    <w:pPr>
      <w:numPr>
        <w:ilvl w:val="5"/>
        <w:numId w:val="5"/>
      </w:numPr>
      <w:spacing w:after="60"/>
      <w:outlineLvl w:val="5"/>
    </w:pPr>
    <w:rPr>
      <w:rFonts w:ascii="Calibri" w:hAnsi="Calibri"/>
      <w:b/>
      <w:bCs/>
    </w:rPr>
  </w:style>
  <w:style w:type="paragraph" w:styleId="Heading7">
    <w:name w:val="heading 7"/>
    <w:basedOn w:val="Normal"/>
    <w:next w:val="Normal"/>
    <w:link w:val="Heading7Char"/>
    <w:uiPriority w:val="9"/>
    <w:semiHidden/>
    <w:unhideWhenUsed/>
    <w:qFormat/>
    <w:rsid w:val="00001B35"/>
    <w:pPr>
      <w:numPr>
        <w:ilvl w:val="6"/>
        <w:numId w:val="5"/>
      </w:numPr>
      <w:spacing w:after="60"/>
      <w:outlineLvl w:val="6"/>
    </w:pPr>
    <w:rPr>
      <w:rFonts w:ascii="Calibri" w:hAnsi="Calibri"/>
      <w:sz w:val="24"/>
      <w:szCs w:val="24"/>
    </w:rPr>
  </w:style>
  <w:style w:type="paragraph" w:styleId="Heading8">
    <w:name w:val="heading 8"/>
    <w:basedOn w:val="Normal"/>
    <w:next w:val="Normal"/>
    <w:link w:val="Heading8Char"/>
    <w:uiPriority w:val="9"/>
    <w:semiHidden/>
    <w:unhideWhenUsed/>
    <w:qFormat/>
    <w:rsid w:val="00001B35"/>
    <w:pPr>
      <w:numPr>
        <w:ilvl w:val="7"/>
        <w:numId w:val="5"/>
      </w:numPr>
      <w:spacing w:after="60"/>
      <w:outlineLvl w:val="7"/>
    </w:pPr>
    <w:rPr>
      <w:rFonts w:ascii="Calibri" w:hAnsi="Calibri"/>
      <w:i/>
      <w:iCs/>
      <w:sz w:val="24"/>
      <w:szCs w:val="24"/>
    </w:rPr>
  </w:style>
  <w:style w:type="paragraph" w:styleId="Heading9">
    <w:name w:val="heading 9"/>
    <w:basedOn w:val="Normal"/>
    <w:next w:val="Normal"/>
    <w:link w:val="Heading9Char"/>
    <w:uiPriority w:val="9"/>
    <w:semiHidden/>
    <w:unhideWhenUsed/>
    <w:qFormat/>
    <w:rsid w:val="00001B35"/>
    <w:pPr>
      <w:numPr>
        <w:ilvl w:val="8"/>
        <w:numId w:val="5"/>
      </w:numPr>
      <w:spacing w:after="60"/>
      <w:outlineLvl w:val="8"/>
    </w:pPr>
    <w:rPr>
      <w:rFonts w:ascii="Cambria" w:hAnsi="Cambria"/>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78734B"/>
    <w:rPr>
      <w:rFonts w:ascii="Gill Sans MT" w:hAnsi="Gill Sans MT"/>
      <w:bCs/>
      <w:color w:val="182983"/>
      <w:kern w:val="32"/>
      <w:sz w:val="40"/>
      <w:szCs w:val="44"/>
    </w:rPr>
  </w:style>
  <w:style w:type="character" w:customStyle="1" w:styleId="Heading2Char">
    <w:name w:val="Heading 2 Char"/>
    <w:basedOn w:val="DefaultParagraphFont"/>
    <w:link w:val="Heading2"/>
    <w:rsid w:val="00E139F7"/>
    <w:rPr>
      <w:rFonts w:ascii="Gill Sans MT" w:hAnsi="Gill Sans MT"/>
      <w:bCs/>
      <w:iCs/>
      <w:color w:val="182983"/>
      <w:sz w:val="32"/>
      <w:szCs w:val="36"/>
      <w:lang w:val="en-US" w:eastAsia="en-US"/>
    </w:rPr>
  </w:style>
  <w:style w:type="character" w:customStyle="1" w:styleId="Heading3Char">
    <w:name w:val="Heading 3 Char"/>
    <w:basedOn w:val="DefaultParagraphFont"/>
    <w:link w:val="Heading3"/>
    <w:uiPriority w:val="9"/>
    <w:rsid w:val="005E1C1F"/>
    <w:rPr>
      <w:rFonts w:ascii="Gill Sans MT" w:hAnsi="Gill Sans MT"/>
      <w:bCs/>
      <w:color w:val="182983"/>
      <w:sz w:val="28"/>
      <w:szCs w:val="32"/>
      <w:lang w:val="en-US" w:eastAsia="en-US"/>
    </w:rPr>
  </w:style>
  <w:style w:type="character" w:customStyle="1" w:styleId="Heading4Char">
    <w:name w:val="Heading 4 Char"/>
    <w:basedOn w:val="DefaultParagraphFont"/>
    <w:link w:val="Heading4"/>
    <w:uiPriority w:val="9"/>
    <w:rsid w:val="005E1C1F"/>
    <w:rPr>
      <w:rFonts w:ascii="Gill Sans MT" w:hAnsi="Gill Sans MT"/>
      <w:color w:val="182983"/>
      <w:sz w:val="24"/>
      <w:szCs w:val="28"/>
      <w:lang w:val="en-US" w:eastAsia="en-US" w:bidi="ar-SA"/>
    </w:rPr>
  </w:style>
  <w:style w:type="character" w:customStyle="1" w:styleId="Heading5Char">
    <w:name w:val="Heading 5 Char"/>
    <w:basedOn w:val="DefaultParagraphFont"/>
    <w:link w:val="Heading5"/>
    <w:uiPriority w:val="9"/>
    <w:semiHidden/>
    <w:rsid w:val="00001B35"/>
    <w:rPr>
      <w:rFonts w:ascii="Gill Sans MT" w:eastAsia="Calibri" w:hAnsi="Gill Sans MT" w:cs="Times New Roman"/>
      <w:b/>
      <w:bCs/>
      <w:i/>
      <w:iCs/>
      <w:sz w:val="26"/>
      <w:szCs w:val="26"/>
      <w:lang w:val="en-US"/>
    </w:rPr>
  </w:style>
  <w:style w:type="character" w:customStyle="1" w:styleId="Heading6Char">
    <w:name w:val="Heading 6 Char"/>
    <w:basedOn w:val="DefaultParagraphFont"/>
    <w:link w:val="Heading6"/>
    <w:uiPriority w:val="9"/>
    <w:semiHidden/>
    <w:rsid w:val="00001B35"/>
    <w:rPr>
      <w:rFonts w:ascii="Calibri" w:eastAsia="Calibri" w:hAnsi="Calibri" w:cs="Times New Roman"/>
      <w:b/>
      <w:bCs/>
      <w:lang w:val="en-US"/>
    </w:rPr>
  </w:style>
  <w:style w:type="character" w:customStyle="1" w:styleId="Heading7Char">
    <w:name w:val="Heading 7 Char"/>
    <w:basedOn w:val="DefaultParagraphFont"/>
    <w:link w:val="Heading7"/>
    <w:uiPriority w:val="9"/>
    <w:semiHidden/>
    <w:rsid w:val="00001B35"/>
    <w:rPr>
      <w:rFonts w:ascii="Calibri" w:eastAsia="Calibri" w:hAnsi="Calibri" w:cs="Times New Roman"/>
      <w:sz w:val="24"/>
      <w:szCs w:val="24"/>
      <w:lang w:val="en-US"/>
    </w:rPr>
  </w:style>
  <w:style w:type="character" w:customStyle="1" w:styleId="Heading8Char">
    <w:name w:val="Heading 8 Char"/>
    <w:basedOn w:val="DefaultParagraphFont"/>
    <w:link w:val="Heading8"/>
    <w:uiPriority w:val="9"/>
    <w:semiHidden/>
    <w:rsid w:val="00001B35"/>
    <w:rPr>
      <w:rFonts w:ascii="Calibri" w:eastAsia="Calibri" w:hAnsi="Calibri" w:cs="Times New Roman"/>
      <w:i/>
      <w:iCs/>
      <w:sz w:val="24"/>
      <w:szCs w:val="24"/>
      <w:lang w:val="en-US"/>
    </w:rPr>
  </w:style>
  <w:style w:type="character" w:customStyle="1" w:styleId="Heading9Char">
    <w:name w:val="Heading 9 Char"/>
    <w:basedOn w:val="DefaultParagraphFont"/>
    <w:link w:val="Heading9"/>
    <w:uiPriority w:val="9"/>
    <w:semiHidden/>
    <w:rsid w:val="00001B35"/>
    <w:rPr>
      <w:rFonts w:ascii="Cambria" w:eastAsia="Calibri" w:hAnsi="Cambria" w:cs="Times New Roman"/>
      <w:lang w:val="en-US"/>
    </w:rPr>
  </w:style>
  <w:style w:type="paragraph" w:styleId="BalloonText">
    <w:name w:val="Balloon Text"/>
    <w:basedOn w:val="Normal"/>
    <w:link w:val="BalloonTextChar1"/>
    <w:uiPriority w:val="99"/>
    <w:semiHidden/>
    <w:unhideWhenUsed/>
    <w:rsid w:val="007B6F02"/>
    <w:pPr>
      <w:spacing w:line="240" w:lineRule="auto"/>
    </w:pPr>
    <w:rPr>
      <w:rFonts w:ascii="Tahoma" w:hAnsi="Tahoma" w:cs="Tahoma"/>
      <w:sz w:val="16"/>
      <w:szCs w:val="16"/>
    </w:rPr>
  </w:style>
  <w:style w:type="character" w:customStyle="1" w:styleId="BalloonTextChar1">
    <w:name w:val="Balloon Text Char1"/>
    <w:basedOn w:val="DefaultParagraphFont"/>
    <w:link w:val="BalloonText"/>
    <w:uiPriority w:val="99"/>
    <w:semiHidden/>
    <w:rsid w:val="007B6F02"/>
    <w:rPr>
      <w:rFonts w:ascii="Tahoma" w:hAnsi="Tahoma" w:cs="Tahoma"/>
      <w:sz w:val="16"/>
      <w:szCs w:val="16"/>
      <w:lang w:val="en-US" w:eastAsia="en-US"/>
    </w:rPr>
  </w:style>
  <w:style w:type="character" w:customStyle="1" w:styleId="BalloonTextChar">
    <w:name w:val="Balloon Text Char"/>
    <w:basedOn w:val="DefaultParagraphFont"/>
    <w:link w:val="BalloonText"/>
    <w:uiPriority w:val="99"/>
    <w:semiHidden/>
    <w:rsid w:val="00EF54C4"/>
    <w:rPr>
      <w:rFonts w:ascii="Lucida Grande" w:hAnsi="Lucida Grande" w:cs="Lucida Grande"/>
      <w:sz w:val="18"/>
      <w:szCs w:val="18"/>
    </w:rPr>
  </w:style>
  <w:style w:type="paragraph" w:styleId="NormalWeb">
    <w:name w:val="Normal (Web)"/>
    <w:basedOn w:val="Normal"/>
    <w:uiPriority w:val="99"/>
    <w:unhideWhenUsed/>
    <w:rsid w:val="00001B35"/>
    <w:pPr>
      <w:spacing w:before="100" w:beforeAutospacing="1" w:after="100" w:afterAutospacing="1" w:line="240" w:lineRule="auto"/>
    </w:pPr>
    <w:rPr>
      <w:rFonts w:ascii="Times New Roman" w:eastAsia="Times New Roman" w:hAnsi="Times New Roman"/>
      <w:sz w:val="24"/>
      <w:szCs w:val="24"/>
      <w:lang w:eastAsia="de-DE"/>
    </w:rPr>
  </w:style>
  <w:style w:type="paragraph" w:styleId="Header">
    <w:name w:val="header"/>
    <w:basedOn w:val="Normal"/>
    <w:link w:val="HeaderChar"/>
    <w:uiPriority w:val="99"/>
    <w:semiHidden/>
    <w:unhideWhenUsed/>
    <w:rsid w:val="00001B35"/>
    <w:pPr>
      <w:tabs>
        <w:tab w:val="center" w:pos="4536"/>
        <w:tab w:val="right" w:pos="9072"/>
      </w:tabs>
    </w:pPr>
  </w:style>
  <w:style w:type="character" w:customStyle="1" w:styleId="HeaderChar">
    <w:name w:val="Header Char"/>
    <w:basedOn w:val="DefaultParagraphFont"/>
    <w:link w:val="Header"/>
    <w:uiPriority w:val="99"/>
    <w:semiHidden/>
    <w:rsid w:val="00001B35"/>
    <w:rPr>
      <w:rFonts w:ascii="Arial" w:eastAsia="Calibri" w:hAnsi="Arial" w:cs="Times New Roman"/>
      <w:lang w:val="en-US"/>
    </w:rPr>
  </w:style>
  <w:style w:type="paragraph" w:styleId="Footer">
    <w:name w:val="footer"/>
    <w:basedOn w:val="Normal"/>
    <w:link w:val="FooterChar"/>
    <w:uiPriority w:val="99"/>
    <w:unhideWhenUsed/>
    <w:rsid w:val="00001B35"/>
    <w:pPr>
      <w:tabs>
        <w:tab w:val="center" w:pos="4536"/>
        <w:tab w:val="right" w:pos="9072"/>
      </w:tabs>
    </w:pPr>
  </w:style>
  <w:style w:type="character" w:customStyle="1" w:styleId="FooterChar">
    <w:name w:val="Footer Char"/>
    <w:basedOn w:val="DefaultParagraphFont"/>
    <w:link w:val="Footer"/>
    <w:uiPriority w:val="99"/>
    <w:rsid w:val="00001B35"/>
    <w:rPr>
      <w:rFonts w:ascii="Arial" w:eastAsia="Calibri" w:hAnsi="Arial" w:cs="Times New Roman"/>
      <w:lang w:val="en-US"/>
    </w:rPr>
  </w:style>
  <w:style w:type="character" w:styleId="Hyperlink">
    <w:name w:val="Hyperlink"/>
    <w:basedOn w:val="DefaultParagraphFont"/>
    <w:uiPriority w:val="99"/>
    <w:unhideWhenUsed/>
    <w:rsid w:val="00001B35"/>
    <w:rPr>
      <w:color w:val="0000FF"/>
      <w:u w:val="single"/>
    </w:rPr>
  </w:style>
  <w:style w:type="paragraph" w:customStyle="1" w:styleId="EcoSubheadingExecSumm">
    <w:name w:val="_EcoSubheadingExecSumm"/>
    <w:basedOn w:val="Normal"/>
    <w:qFormat/>
    <w:rsid w:val="00001B35"/>
    <w:pPr>
      <w:spacing w:afterLines="50" w:line="240" w:lineRule="auto"/>
    </w:pPr>
    <w:rPr>
      <w:rFonts w:cs="Arial"/>
      <w:b/>
      <w:sz w:val="20"/>
      <w:szCs w:val="20"/>
    </w:rPr>
  </w:style>
  <w:style w:type="paragraph" w:styleId="Title">
    <w:name w:val="Title"/>
    <w:basedOn w:val="EcoSourceNote"/>
    <w:next w:val="Normal"/>
    <w:link w:val="TitleChar"/>
    <w:uiPriority w:val="10"/>
    <w:qFormat/>
    <w:rsid w:val="00001B35"/>
    <w:pPr>
      <w:jc w:val="left"/>
    </w:pPr>
    <w:rPr>
      <w:b/>
      <w:i w:val="0"/>
      <w:color w:val="182983"/>
      <w:sz w:val="48"/>
      <w:szCs w:val="48"/>
    </w:rPr>
  </w:style>
  <w:style w:type="paragraph" w:customStyle="1" w:styleId="EcoSourceNote">
    <w:name w:val="_EcoSourceNote"/>
    <w:basedOn w:val="Normal"/>
    <w:qFormat/>
    <w:rsid w:val="00FA7BCD"/>
    <w:pPr>
      <w:spacing w:after="360"/>
    </w:pPr>
    <w:rPr>
      <w:rFonts w:ascii="Gill Sans MT" w:hAnsi="Gill Sans MT"/>
      <w:i/>
      <w:color w:val="6F7072"/>
      <w:sz w:val="16"/>
      <w:szCs w:val="20"/>
    </w:rPr>
  </w:style>
  <w:style w:type="character" w:customStyle="1" w:styleId="TitleChar">
    <w:name w:val="Title Char"/>
    <w:basedOn w:val="DefaultParagraphFont"/>
    <w:link w:val="Title"/>
    <w:uiPriority w:val="10"/>
    <w:rsid w:val="00001B35"/>
    <w:rPr>
      <w:rFonts w:ascii="Gill Sans MT" w:eastAsia="Calibri" w:hAnsi="Gill Sans MT" w:cs="Times New Roman"/>
      <w:b/>
      <w:color w:val="182983"/>
      <w:sz w:val="48"/>
      <w:szCs w:val="48"/>
      <w:lang w:val="en-US"/>
    </w:rPr>
  </w:style>
  <w:style w:type="paragraph" w:customStyle="1" w:styleId="EcoTitleAuthors">
    <w:name w:val="_EcoTitleAuthors"/>
    <w:basedOn w:val="Normal"/>
    <w:qFormat/>
    <w:rsid w:val="00001B35"/>
    <w:pPr>
      <w:spacing w:after="360"/>
      <w:jc w:val="left"/>
    </w:pPr>
    <w:rPr>
      <w:rFonts w:ascii="Gill Sans MT" w:hAnsi="Gill Sans MT"/>
      <w:sz w:val="36"/>
      <w:szCs w:val="36"/>
    </w:rPr>
  </w:style>
  <w:style w:type="paragraph" w:styleId="Subtitle">
    <w:name w:val="Subtitle"/>
    <w:basedOn w:val="EcoSourceNote"/>
    <w:next w:val="Normal"/>
    <w:link w:val="SubtitleChar"/>
    <w:uiPriority w:val="11"/>
    <w:qFormat/>
    <w:rsid w:val="00001B35"/>
    <w:pPr>
      <w:jc w:val="left"/>
    </w:pPr>
    <w:rPr>
      <w:i w:val="0"/>
      <w:color w:val="182983"/>
      <w:sz w:val="44"/>
      <w:szCs w:val="44"/>
    </w:rPr>
  </w:style>
  <w:style w:type="character" w:customStyle="1" w:styleId="SubtitleChar">
    <w:name w:val="Subtitle Char"/>
    <w:basedOn w:val="DefaultParagraphFont"/>
    <w:link w:val="Subtitle"/>
    <w:uiPriority w:val="11"/>
    <w:rsid w:val="00001B35"/>
    <w:rPr>
      <w:rFonts w:ascii="Gill Sans MT" w:eastAsia="Calibri" w:hAnsi="Gill Sans MT" w:cs="Times New Roman"/>
      <w:color w:val="182983"/>
      <w:sz w:val="44"/>
      <w:szCs w:val="44"/>
      <w:lang w:val="en-US"/>
    </w:rPr>
  </w:style>
  <w:style w:type="paragraph" w:customStyle="1" w:styleId="EcoPagenumber">
    <w:name w:val="_EcoPagenumber"/>
    <w:basedOn w:val="Footer"/>
    <w:qFormat/>
    <w:rsid w:val="00001B35"/>
    <w:pPr>
      <w:spacing w:after="360"/>
      <w:jc w:val="center"/>
    </w:pPr>
    <w:rPr>
      <w:rFonts w:ascii="Gill Sans MT" w:hAnsi="Gill Sans MT"/>
      <w:color w:val="6F7072"/>
      <w:sz w:val="20"/>
      <w:szCs w:val="20"/>
    </w:rPr>
  </w:style>
  <w:style w:type="paragraph" w:customStyle="1" w:styleId="EcoHeader">
    <w:name w:val="_EcoHeader"/>
    <w:basedOn w:val="Normal"/>
    <w:qFormat/>
    <w:rsid w:val="00001B35"/>
    <w:pPr>
      <w:pBdr>
        <w:bottom w:val="single" w:sz="4" w:space="1" w:color="auto"/>
      </w:pBdr>
      <w:spacing w:afterLines="100" w:line="240" w:lineRule="auto"/>
      <w:jc w:val="center"/>
    </w:pPr>
    <w:rPr>
      <w:rFonts w:ascii="Gill Sans MT" w:hAnsi="Gill Sans MT"/>
      <w:i/>
      <w:color w:val="6F7072"/>
      <w:sz w:val="20"/>
    </w:rPr>
  </w:style>
  <w:style w:type="paragraph" w:customStyle="1" w:styleId="EcoCaption">
    <w:name w:val="_EcoCaption"/>
    <w:basedOn w:val="Normal"/>
    <w:qFormat/>
    <w:rsid w:val="00001B35"/>
    <w:pPr>
      <w:spacing w:before="240" w:afterLines="50"/>
    </w:pPr>
    <w:rPr>
      <w:rFonts w:ascii="Gill Sans MT" w:hAnsi="Gill Sans MT"/>
      <w:b/>
      <w:color w:val="182983"/>
    </w:rPr>
  </w:style>
  <w:style w:type="paragraph" w:customStyle="1" w:styleId="EcoBreakoutText">
    <w:name w:val="_EcoBreakoutText"/>
    <w:basedOn w:val="Normal"/>
    <w:qFormat/>
    <w:rsid w:val="00001B35"/>
    <w:pPr>
      <w:spacing w:after="360"/>
    </w:pPr>
    <w:rPr>
      <w:rFonts w:ascii="Gill Sans MT" w:hAnsi="Gill Sans MT" w:cs="Arial"/>
      <w:sz w:val="30"/>
      <w:szCs w:val="30"/>
    </w:rPr>
  </w:style>
  <w:style w:type="paragraph" w:styleId="Caption">
    <w:name w:val="caption"/>
    <w:aliases w:val="Eco"/>
    <w:basedOn w:val="Normal"/>
    <w:next w:val="Normal"/>
    <w:uiPriority w:val="35"/>
    <w:unhideWhenUsed/>
    <w:qFormat/>
    <w:rsid w:val="00570DAD"/>
    <w:pPr>
      <w:spacing w:before="240" w:afterLines="50"/>
    </w:pPr>
    <w:rPr>
      <w:rFonts w:ascii="Gill Sans MT" w:hAnsi="Gill Sans MT"/>
      <w:b/>
      <w:bCs/>
      <w:color w:val="182983"/>
      <w:szCs w:val="20"/>
    </w:rPr>
  </w:style>
  <w:style w:type="paragraph" w:customStyle="1" w:styleId="EcoNumberlessHeading1">
    <w:name w:val="_EcoNumberlessHeading1"/>
    <w:next w:val="Normal"/>
    <w:qFormat/>
    <w:rsid w:val="00D858C5"/>
    <w:pPr>
      <w:spacing w:before="240" w:after="120"/>
    </w:pPr>
    <w:rPr>
      <w:rFonts w:ascii="Gill Sans MT" w:hAnsi="Gill Sans MT"/>
      <w:bCs/>
      <w:color w:val="182983"/>
      <w:kern w:val="32"/>
      <w:sz w:val="40"/>
      <w:szCs w:val="48"/>
    </w:rPr>
  </w:style>
  <w:style w:type="paragraph" w:customStyle="1" w:styleId="EcoStandardExecSumm">
    <w:name w:val="_EcoStandardExecSumm"/>
    <w:basedOn w:val="Normal"/>
    <w:qFormat/>
    <w:rsid w:val="00001B35"/>
    <w:pPr>
      <w:spacing w:afterLines="115" w:line="252" w:lineRule="auto"/>
    </w:pPr>
    <w:rPr>
      <w:rFonts w:cs="Arial"/>
      <w:sz w:val="20"/>
      <w:szCs w:val="20"/>
    </w:rPr>
  </w:style>
  <w:style w:type="paragraph" w:styleId="TableofFigures">
    <w:name w:val="table of figures"/>
    <w:basedOn w:val="Normal"/>
    <w:next w:val="Normal"/>
    <w:uiPriority w:val="99"/>
    <w:unhideWhenUsed/>
    <w:rsid w:val="00001B35"/>
  </w:style>
  <w:style w:type="paragraph" w:styleId="TOC2">
    <w:name w:val="toc 2"/>
    <w:basedOn w:val="Normal"/>
    <w:next w:val="Normal"/>
    <w:uiPriority w:val="39"/>
    <w:unhideWhenUsed/>
    <w:rsid w:val="00AE42EC"/>
    <w:pPr>
      <w:tabs>
        <w:tab w:val="left" w:pos="993"/>
        <w:tab w:val="right" w:leader="dot" w:pos="9062"/>
      </w:tabs>
      <w:spacing w:afterLines="100" w:line="240" w:lineRule="auto"/>
      <w:ind w:left="1417" w:hanging="992"/>
    </w:pPr>
    <w:rPr>
      <w:b/>
      <w:sz w:val="24"/>
    </w:rPr>
  </w:style>
  <w:style w:type="paragraph" w:styleId="TOC1">
    <w:name w:val="toc 1"/>
    <w:basedOn w:val="Normal"/>
    <w:next w:val="Normal"/>
    <w:uiPriority w:val="39"/>
    <w:unhideWhenUsed/>
    <w:rsid w:val="002C2684"/>
    <w:pPr>
      <w:tabs>
        <w:tab w:val="right" w:leader="dot" w:pos="9062"/>
      </w:tabs>
      <w:spacing w:afterLines="100" w:line="240" w:lineRule="auto"/>
      <w:ind w:left="426" w:hanging="426"/>
    </w:pPr>
    <w:rPr>
      <w:b/>
      <w:color w:val="182983"/>
      <w:sz w:val="28"/>
    </w:rPr>
  </w:style>
  <w:style w:type="paragraph" w:styleId="TOC3">
    <w:name w:val="toc 3"/>
    <w:basedOn w:val="Normal"/>
    <w:next w:val="Normal"/>
    <w:uiPriority w:val="39"/>
    <w:unhideWhenUsed/>
    <w:rsid w:val="00CD11C3"/>
    <w:pPr>
      <w:tabs>
        <w:tab w:val="left" w:pos="1701"/>
        <w:tab w:val="right" w:leader="dot" w:pos="9062"/>
      </w:tabs>
      <w:spacing w:before="100" w:beforeAutospacing="1" w:after="100" w:afterAutospacing="1" w:line="240" w:lineRule="auto"/>
      <w:ind w:left="2693" w:hanging="1701"/>
    </w:pPr>
    <w:rPr>
      <w:sz w:val="24"/>
    </w:rPr>
  </w:style>
  <w:style w:type="paragraph" w:customStyle="1" w:styleId="EcoTextBoxText">
    <w:name w:val="_EcoTextBoxText"/>
    <w:basedOn w:val="NormalWeb"/>
    <w:qFormat/>
    <w:rsid w:val="00001B35"/>
    <w:pPr>
      <w:spacing w:beforeLines="50" w:beforeAutospacing="0" w:afterLines="50" w:afterAutospacing="0"/>
    </w:pPr>
    <w:rPr>
      <w:rFonts w:ascii="Arial" w:hAnsi="Arial" w:cs="Arial"/>
      <w:sz w:val="20"/>
      <w:szCs w:val="20"/>
    </w:rPr>
  </w:style>
  <w:style w:type="paragraph" w:styleId="EndnoteText">
    <w:name w:val="endnote text"/>
    <w:basedOn w:val="Normal"/>
    <w:link w:val="EndnoteTextChar"/>
    <w:uiPriority w:val="99"/>
    <w:semiHidden/>
    <w:unhideWhenUsed/>
    <w:rsid w:val="00001B35"/>
    <w:rPr>
      <w:sz w:val="20"/>
      <w:szCs w:val="20"/>
    </w:rPr>
  </w:style>
  <w:style w:type="character" w:customStyle="1" w:styleId="EndnoteTextChar">
    <w:name w:val="Endnote Text Char"/>
    <w:basedOn w:val="DefaultParagraphFont"/>
    <w:link w:val="EndnoteText"/>
    <w:uiPriority w:val="99"/>
    <w:semiHidden/>
    <w:rsid w:val="00001B35"/>
    <w:rPr>
      <w:rFonts w:ascii="Arial" w:eastAsia="Calibri" w:hAnsi="Arial" w:cs="Times New Roman"/>
      <w:sz w:val="20"/>
      <w:szCs w:val="20"/>
      <w:lang w:val="en-US"/>
    </w:rPr>
  </w:style>
  <w:style w:type="character" w:styleId="EndnoteReference">
    <w:name w:val="endnote reference"/>
    <w:basedOn w:val="DefaultParagraphFont"/>
    <w:uiPriority w:val="99"/>
    <w:semiHidden/>
    <w:unhideWhenUsed/>
    <w:rsid w:val="00001B35"/>
    <w:rPr>
      <w:vertAlign w:val="superscript"/>
    </w:rPr>
  </w:style>
  <w:style w:type="paragraph" w:styleId="FootnoteText">
    <w:name w:val="footnote text"/>
    <w:basedOn w:val="Normal"/>
    <w:link w:val="FootnoteTextChar"/>
    <w:uiPriority w:val="99"/>
    <w:semiHidden/>
    <w:unhideWhenUsed/>
    <w:rsid w:val="002C2684"/>
    <w:pPr>
      <w:spacing w:after="150" w:line="240" w:lineRule="auto"/>
      <w:ind w:left="709" w:hanging="709"/>
    </w:pPr>
    <w:rPr>
      <w:sz w:val="20"/>
      <w:szCs w:val="20"/>
    </w:rPr>
  </w:style>
  <w:style w:type="character" w:customStyle="1" w:styleId="FootnoteTextChar">
    <w:name w:val="Footnote Text Char"/>
    <w:basedOn w:val="DefaultParagraphFont"/>
    <w:link w:val="FootnoteText"/>
    <w:uiPriority w:val="99"/>
    <w:semiHidden/>
    <w:rsid w:val="002C2684"/>
    <w:rPr>
      <w:rFonts w:ascii="Arial" w:hAnsi="Arial"/>
      <w:lang w:val="en-US" w:eastAsia="en-US"/>
    </w:rPr>
  </w:style>
  <w:style w:type="character" w:styleId="FootnoteReference">
    <w:name w:val="footnote reference"/>
    <w:basedOn w:val="DefaultParagraphFont"/>
    <w:uiPriority w:val="99"/>
    <w:semiHidden/>
    <w:unhideWhenUsed/>
    <w:rsid w:val="00567BCE"/>
    <w:rPr>
      <w:vertAlign w:val="superscript"/>
    </w:rPr>
  </w:style>
  <w:style w:type="paragraph" w:customStyle="1" w:styleId="EcoTableText">
    <w:name w:val="_EcoTableText"/>
    <w:basedOn w:val="Normal"/>
    <w:qFormat/>
    <w:rsid w:val="00326BBF"/>
    <w:pPr>
      <w:spacing w:before="60" w:after="60" w:line="240" w:lineRule="auto"/>
      <w:jc w:val="left"/>
    </w:pPr>
    <w:rPr>
      <w:sz w:val="20"/>
      <w:szCs w:val="20"/>
    </w:rPr>
  </w:style>
  <w:style w:type="paragraph" w:customStyle="1" w:styleId="EcoReferenceList">
    <w:name w:val="_EcoReferenceList"/>
    <w:basedOn w:val="Normal"/>
    <w:qFormat/>
    <w:rsid w:val="00CF5C74"/>
    <w:pPr>
      <w:spacing w:afterLines="100"/>
      <w:ind w:left="284" w:hanging="284"/>
    </w:pPr>
    <w:rPr>
      <w:sz w:val="20"/>
      <w:szCs w:val="20"/>
    </w:rPr>
  </w:style>
  <w:style w:type="paragraph" w:customStyle="1" w:styleId="EcoFootnote">
    <w:name w:val="_EcoFootnote"/>
    <w:basedOn w:val="FootnoteText"/>
    <w:qFormat/>
    <w:rsid w:val="00FA7BCD"/>
    <w:pPr>
      <w:spacing w:afterLines="100"/>
      <w:ind w:left="142" w:hanging="142"/>
    </w:pPr>
    <w:rPr>
      <w:sz w:val="18"/>
    </w:rPr>
  </w:style>
  <w:style w:type="paragraph" w:customStyle="1" w:styleId="EcoBullets">
    <w:name w:val="_EcoBullets"/>
    <w:basedOn w:val="NormalWeb"/>
    <w:qFormat/>
    <w:rsid w:val="00154ABC"/>
    <w:pPr>
      <w:numPr>
        <w:numId w:val="6"/>
      </w:numPr>
      <w:spacing w:before="150" w:beforeAutospacing="0" w:after="150" w:afterAutospacing="0" w:line="360" w:lineRule="auto"/>
      <w:ind w:left="357" w:hanging="357"/>
      <w:contextualSpacing/>
    </w:pPr>
    <w:rPr>
      <w:rFonts w:ascii="Arial" w:hAnsi="Arial" w:cs="Arial"/>
      <w:sz w:val="22"/>
      <w:szCs w:val="22"/>
      <w:lang w:val="de-DE"/>
    </w:rPr>
  </w:style>
  <w:style w:type="table" w:styleId="TableGrid">
    <w:name w:val="Table Grid"/>
    <w:basedOn w:val="TableNormal"/>
    <w:uiPriority w:val="59"/>
    <w:rsid w:val="006A59E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EcoTableHeadline">
    <w:name w:val="_EcoTableHeadline"/>
    <w:basedOn w:val="Normal"/>
    <w:qFormat/>
    <w:rsid w:val="00EA1613"/>
    <w:pPr>
      <w:spacing w:before="60" w:after="60" w:line="240" w:lineRule="auto"/>
      <w:jc w:val="left"/>
    </w:pPr>
    <w:rPr>
      <w:b/>
      <w:color w:val="FFFFFF"/>
      <w:sz w:val="20"/>
      <w:szCs w:val="20"/>
    </w:rPr>
  </w:style>
  <w:style w:type="paragraph" w:customStyle="1" w:styleId="EcoBulletsNumbered">
    <w:name w:val="_EcoBulletsNumbered"/>
    <w:basedOn w:val="EcoBullets"/>
    <w:qFormat/>
    <w:rsid w:val="00A12320"/>
    <w:pPr>
      <w:numPr>
        <w:numId w:val="14"/>
      </w:numPr>
      <w:spacing w:line="276" w:lineRule="auto"/>
      <w:ind w:left="754" w:hanging="357"/>
      <w:contextualSpacing w:val="0"/>
    </w:pPr>
  </w:style>
  <w:style w:type="table" w:customStyle="1" w:styleId="HelleSchattierung-Akzent1">
    <w:name w:val="Helle Schattierung - Akzent 1"/>
    <w:basedOn w:val="TableNormal"/>
    <w:uiPriority w:val="60"/>
    <w:rsid w:val="00A8776B"/>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EcoTable">
    <w:name w:val="_EcoTable"/>
    <w:basedOn w:val="TableNormal"/>
    <w:uiPriority w:val="99"/>
    <w:qFormat/>
    <w:rsid w:val="00FA5A0D"/>
    <w:pPr>
      <w:spacing w:before="60" w:after="60"/>
    </w:pPr>
    <w:rPr>
      <w:rFonts w:ascii="Arial" w:hAnsi="Arial"/>
    </w:rPr>
    <w:tblPr>
      <w:tblStyleRowBandSize w:val="1"/>
      <w:tblInd w:w="0" w:type="dxa"/>
      <w:tblBorders>
        <w:top w:val="single" w:sz="4" w:space="0" w:color="auto"/>
        <w:bottom w:val="single" w:sz="4" w:space="0" w:color="auto"/>
      </w:tblBorders>
      <w:tblCellMar>
        <w:top w:w="0" w:type="dxa"/>
        <w:left w:w="108" w:type="dxa"/>
        <w:bottom w:w="0" w:type="dxa"/>
        <w:right w:w="108" w:type="dxa"/>
      </w:tblCellMar>
    </w:tblPr>
    <w:tcPr>
      <w:shd w:val="clear" w:color="auto" w:fill="D9D9D9"/>
      <w:vAlign w:val="center"/>
    </w:tcPr>
    <w:tblStylePr w:type="firstRow">
      <w:rPr>
        <w:b/>
        <w:sz w:val="20"/>
      </w:rPr>
      <w:tblPr/>
      <w:tcPr>
        <w:tcBorders>
          <w:top w:val="single" w:sz="4" w:space="0" w:color="auto"/>
          <w:left w:val="nil"/>
          <w:bottom w:val="single" w:sz="4" w:space="0" w:color="auto"/>
          <w:right w:val="nil"/>
          <w:insideH w:val="nil"/>
          <w:insideV w:val="nil"/>
          <w:tl2br w:val="nil"/>
          <w:tr2bl w:val="nil"/>
        </w:tcBorders>
        <w:shd w:val="clear" w:color="auto" w:fill="182983"/>
      </w:tcPr>
    </w:tblStylePr>
    <w:tblStylePr w:type="lastRow">
      <w:rPr>
        <w:b/>
      </w:rPr>
      <w:tblPr/>
      <w:tcPr>
        <w:shd w:val="clear" w:color="auto" w:fill="182983"/>
      </w:tcPr>
    </w:tblStylePr>
    <w:tblStylePr w:type="band1Horz">
      <w:tblPr/>
      <w:tcPr>
        <w:shd w:val="clear" w:color="auto" w:fill="D9D9D9"/>
      </w:tcPr>
    </w:tblStylePr>
    <w:tblStylePr w:type="band2Horz">
      <w:tblPr/>
      <w:tcPr>
        <w:shd w:val="clear" w:color="auto" w:fill="FFFFFF"/>
      </w:tcPr>
    </w:tblStylePr>
  </w:style>
  <w:style w:type="paragraph" w:customStyle="1" w:styleId="EcoNumberlessHeading2">
    <w:name w:val="_EcoNumberlessHeading2"/>
    <w:qFormat/>
    <w:rsid w:val="00D858C5"/>
    <w:pPr>
      <w:spacing w:before="480" w:after="360"/>
    </w:pPr>
    <w:rPr>
      <w:rFonts w:ascii="Gill Sans MT" w:hAnsi="Gill Sans MT"/>
      <w:bCs/>
      <w:iCs/>
      <w:color w:val="182983"/>
      <w:szCs w:val="36"/>
    </w:rPr>
  </w:style>
  <w:style w:type="character" w:styleId="CommentReference">
    <w:name w:val="annotation reference"/>
    <w:basedOn w:val="DefaultParagraphFont"/>
    <w:uiPriority w:val="99"/>
    <w:semiHidden/>
    <w:unhideWhenUsed/>
    <w:rsid w:val="0049486A"/>
    <w:rPr>
      <w:sz w:val="16"/>
      <w:szCs w:val="16"/>
    </w:rPr>
  </w:style>
  <w:style w:type="paragraph" w:styleId="CommentText">
    <w:name w:val="annotation text"/>
    <w:basedOn w:val="Normal"/>
    <w:link w:val="CommentTextChar"/>
    <w:uiPriority w:val="99"/>
    <w:semiHidden/>
    <w:unhideWhenUsed/>
    <w:rsid w:val="0049486A"/>
    <w:pPr>
      <w:spacing w:line="240" w:lineRule="auto"/>
    </w:pPr>
    <w:rPr>
      <w:sz w:val="20"/>
      <w:szCs w:val="20"/>
    </w:rPr>
  </w:style>
  <w:style w:type="character" w:customStyle="1" w:styleId="CommentTextChar">
    <w:name w:val="Comment Text Char"/>
    <w:basedOn w:val="DefaultParagraphFont"/>
    <w:link w:val="CommentText"/>
    <w:uiPriority w:val="99"/>
    <w:semiHidden/>
    <w:rsid w:val="0049486A"/>
    <w:rPr>
      <w:rFonts w:ascii="Arial" w:hAnsi="Arial"/>
    </w:rPr>
  </w:style>
  <w:style w:type="paragraph" w:styleId="CommentSubject">
    <w:name w:val="annotation subject"/>
    <w:basedOn w:val="CommentText"/>
    <w:next w:val="CommentText"/>
    <w:link w:val="CommentSubjectChar"/>
    <w:uiPriority w:val="99"/>
    <w:semiHidden/>
    <w:unhideWhenUsed/>
    <w:rsid w:val="0049486A"/>
    <w:rPr>
      <w:b/>
      <w:bCs/>
    </w:rPr>
  </w:style>
  <w:style w:type="character" w:customStyle="1" w:styleId="CommentSubjectChar">
    <w:name w:val="Comment Subject Char"/>
    <w:basedOn w:val="CommentTextChar"/>
    <w:link w:val="CommentSubject"/>
    <w:uiPriority w:val="99"/>
    <w:semiHidden/>
    <w:rsid w:val="0049486A"/>
    <w:rPr>
      <w:b/>
      <w:bCs/>
    </w:rPr>
  </w:style>
  <w:style w:type="paragraph" w:styleId="ListParagraph">
    <w:name w:val="List Paragraph"/>
    <w:basedOn w:val="Normal"/>
    <w:uiPriority w:val="72"/>
    <w:rsid w:val="00B22964"/>
    <w:pPr>
      <w:ind w:left="720"/>
      <w:contextualSpacing/>
    </w:pPr>
  </w:style>
  <w:style w:type="character" w:styleId="IntenseEmphasis">
    <w:name w:val="Intense Emphasis"/>
    <w:basedOn w:val="DefaultParagraphFont"/>
    <w:uiPriority w:val="21"/>
    <w:qFormat/>
    <w:rsid w:val="008F0C85"/>
    <w:rPr>
      <w:b/>
      <w:bCs/>
      <w:i/>
      <w:iCs/>
      <w:color w:val="4F81BD"/>
    </w:rPr>
  </w:style>
  <w:style w:type="paragraph" w:styleId="DocumentMap">
    <w:name w:val="Document Map"/>
    <w:basedOn w:val="Normal"/>
    <w:link w:val="DocumentMapChar"/>
    <w:uiPriority w:val="99"/>
    <w:semiHidden/>
    <w:unhideWhenUsed/>
    <w:rsid w:val="004F1AE2"/>
    <w:pPr>
      <w:spacing w:before="0"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4F1AE2"/>
    <w:rPr>
      <w:rFonts w:ascii="Tahoma" w:hAnsi="Tahoma" w:cs="Tahoma"/>
      <w:sz w:val="16"/>
      <w:szCs w:val="16"/>
    </w:rPr>
  </w:style>
  <w:style w:type="paragraph" w:customStyle="1" w:styleId="Default">
    <w:name w:val="Default"/>
    <w:rsid w:val="00A54374"/>
    <w:pPr>
      <w:widowControl w:val="0"/>
      <w:autoSpaceDE w:val="0"/>
      <w:autoSpaceDN w:val="0"/>
      <w:adjustRightInd w:val="0"/>
    </w:pPr>
    <w:rPr>
      <w:rFonts w:ascii="Arial Narrow" w:hAnsi="Arial Narrow" w:cs="Arial Narrow"/>
      <w:color w:val="000000"/>
    </w:rPr>
  </w:style>
  <w:style w:type="paragraph" w:styleId="NoSpacing">
    <w:name w:val="No Spacing"/>
    <w:uiPriority w:val="1"/>
    <w:qFormat/>
    <w:rsid w:val="005D6386"/>
    <w:rPr>
      <w:sz w:val="22"/>
      <w:szCs w:val="22"/>
    </w:rPr>
  </w:style>
  <w:style w:type="character" w:customStyle="1" w:styleId="hps">
    <w:name w:val="hps"/>
    <w:rsid w:val="005D6386"/>
  </w:style>
  <w:style w:type="character" w:customStyle="1" w:styleId="A17">
    <w:name w:val="A17"/>
    <w:uiPriority w:val="99"/>
    <w:rsid w:val="005D6386"/>
    <w:rPr>
      <w:rFonts w:cs="Trebuchet MS"/>
      <w:color w:val="000000"/>
      <w:sz w:val="21"/>
      <w:szCs w:val="21"/>
    </w:rPr>
  </w:style>
  <w:style w:type="paragraph" w:styleId="Bibliography">
    <w:name w:val="Bibliography"/>
    <w:basedOn w:val="Normal"/>
    <w:next w:val="Normal"/>
    <w:uiPriority w:val="37"/>
    <w:unhideWhenUsed/>
    <w:rsid w:val="002B2603"/>
    <w:pPr>
      <w:spacing w:after="0" w:line="240" w:lineRule="auto"/>
      <w:ind w:left="720" w:hanging="720"/>
    </w:pPr>
  </w:style>
  <w:style w:type="character" w:customStyle="1" w:styleId="rightside">
    <w:name w:val="right_side"/>
    <w:basedOn w:val="DefaultParagraphFont"/>
    <w:rsid w:val="00521054"/>
  </w:style>
  <w:style w:type="character" w:styleId="FollowedHyperlink">
    <w:name w:val="FollowedHyperlink"/>
    <w:basedOn w:val="DefaultParagraphFont"/>
    <w:rsid w:val="008A08A6"/>
    <w:rPr>
      <w:color w:val="800080" w:themeColor="followedHyperlink"/>
      <w:u w:val="single"/>
    </w:rPr>
  </w:style>
  <w:style w:type="paragraph" w:customStyle="1" w:styleId="Body">
    <w:name w:val="Body"/>
    <w:basedOn w:val="Normal"/>
    <w:rsid w:val="00394BB8"/>
    <w:pPr>
      <w:suppressAutoHyphens/>
      <w:spacing w:before="0" w:after="0" w:line="260" w:lineRule="atLeast"/>
    </w:pPr>
    <w:rPr>
      <w:rFonts w:eastAsia="Times New Roman"/>
      <w:szCs w:val="20"/>
      <w:lang w:val="nl-NL"/>
    </w:rPr>
  </w:style>
  <w:style w:type="paragraph" w:styleId="ListBullet">
    <w:name w:val="List Bullet"/>
    <w:basedOn w:val="Normal"/>
    <w:rsid w:val="00503F5D"/>
    <w:pPr>
      <w:numPr>
        <w:numId w:val="30"/>
      </w:numPr>
      <w:contextualSpacing/>
    </w:pPr>
  </w:style>
</w:styles>
</file>

<file path=word/webSettings.xml><?xml version="1.0" encoding="utf-8"?>
<w:webSettings xmlns:r="http://schemas.openxmlformats.org/officeDocument/2006/relationships" xmlns:w="http://schemas.openxmlformats.org/wordprocessingml/2006/main">
  <w:divs>
    <w:div w:id="59717995">
      <w:bodyDiv w:val="1"/>
      <w:marLeft w:val="0"/>
      <w:marRight w:val="0"/>
      <w:marTop w:val="0"/>
      <w:marBottom w:val="0"/>
      <w:divBdr>
        <w:top w:val="none" w:sz="0" w:space="0" w:color="auto"/>
        <w:left w:val="none" w:sz="0" w:space="0" w:color="auto"/>
        <w:bottom w:val="none" w:sz="0" w:space="0" w:color="auto"/>
        <w:right w:val="none" w:sz="0" w:space="0" w:color="auto"/>
      </w:divBdr>
      <w:divsChild>
        <w:div w:id="40596167">
          <w:marLeft w:val="0"/>
          <w:marRight w:val="0"/>
          <w:marTop w:val="0"/>
          <w:marBottom w:val="0"/>
          <w:divBdr>
            <w:top w:val="none" w:sz="0" w:space="0" w:color="auto"/>
            <w:left w:val="none" w:sz="0" w:space="0" w:color="auto"/>
            <w:bottom w:val="none" w:sz="0" w:space="0" w:color="auto"/>
            <w:right w:val="none" w:sz="0" w:space="0" w:color="auto"/>
          </w:divBdr>
        </w:div>
        <w:div w:id="443304368">
          <w:marLeft w:val="0"/>
          <w:marRight w:val="0"/>
          <w:marTop w:val="0"/>
          <w:marBottom w:val="0"/>
          <w:divBdr>
            <w:top w:val="none" w:sz="0" w:space="0" w:color="auto"/>
            <w:left w:val="none" w:sz="0" w:space="0" w:color="auto"/>
            <w:bottom w:val="none" w:sz="0" w:space="0" w:color="auto"/>
            <w:right w:val="none" w:sz="0" w:space="0" w:color="auto"/>
          </w:divBdr>
        </w:div>
        <w:div w:id="693993052">
          <w:marLeft w:val="0"/>
          <w:marRight w:val="0"/>
          <w:marTop w:val="0"/>
          <w:marBottom w:val="0"/>
          <w:divBdr>
            <w:top w:val="none" w:sz="0" w:space="0" w:color="auto"/>
            <w:left w:val="none" w:sz="0" w:space="0" w:color="auto"/>
            <w:bottom w:val="none" w:sz="0" w:space="0" w:color="auto"/>
            <w:right w:val="none" w:sz="0" w:space="0" w:color="auto"/>
          </w:divBdr>
        </w:div>
        <w:div w:id="786855224">
          <w:marLeft w:val="0"/>
          <w:marRight w:val="0"/>
          <w:marTop w:val="0"/>
          <w:marBottom w:val="0"/>
          <w:divBdr>
            <w:top w:val="none" w:sz="0" w:space="0" w:color="auto"/>
            <w:left w:val="none" w:sz="0" w:space="0" w:color="auto"/>
            <w:bottom w:val="none" w:sz="0" w:space="0" w:color="auto"/>
            <w:right w:val="none" w:sz="0" w:space="0" w:color="auto"/>
          </w:divBdr>
        </w:div>
        <w:div w:id="1606497818">
          <w:marLeft w:val="0"/>
          <w:marRight w:val="0"/>
          <w:marTop w:val="0"/>
          <w:marBottom w:val="0"/>
          <w:divBdr>
            <w:top w:val="none" w:sz="0" w:space="0" w:color="auto"/>
            <w:left w:val="none" w:sz="0" w:space="0" w:color="auto"/>
            <w:bottom w:val="none" w:sz="0" w:space="0" w:color="auto"/>
            <w:right w:val="none" w:sz="0" w:space="0" w:color="auto"/>
          </w:divBdr>
        </w:div>
        <w:div w:id="2036996515">
          <w:marLeft w:val="0"/>
          <w:marRight w:val="0"/>
          <w:marTop w:val="0"/>
          <w:marBottom w:val="0"/>
          <w:divBdr>
            <w:top w:val="none" w:sz="0" w:space="0" w:color="auto"/>
            <w:left w:val="none" w:sz="0" w:space="0" w:color="auto"/>
            <w:bottom w:val="none" w:sz="0" w:space="0" w:color="auto"/>
            <w:right w:val="none" w:sz="0" w:space="0" w:color="auto"/>
          </w:divBdr>
        </w:div>
      </w:divsChild>
    </w:div>
    <w:div w:id="156919705">
      <w:bodyDiv w:val="1"/>
      <w:marLeft w:val="0"/>
      <w:marRight w:val="0"/>
      <w:marTop w:val="0"/>
      <w:marBottom w:val="0"/>
      <w:divBdr>
        <w:top w:val="none" w:sz="0" w:space="0" w:color="auto"/>
        <w:left w:val="none" w:sz="0" w:space="0" w:color="auto"/>
        <w:bottom w:val="none" w:sz="0" w:space="0" w:color="auto"/>
        <w:right w:val="none" w:sz="0" w:space="0" w:color="auto"/>
      </w:divBdr>
    </w:div>
    <w:div w:id="753622514">
      <w:bodyDiv w:val="1"/>
      <w:marLeft w:val="0"/>
      <w:marRight w:val="0"/>
      <w:marTop w:val="0"/>
      <w:marBottom w:val="0"/>
      <w:divBdr>
        <w:top w:val="none" w:sz="0" w:space="0" w:color="auto"/>
        <w:left w:val="none" w:sz="0" w:space="0" w:color="auto"/>
        <w:bottom w:val="none" w:sz="0" w:space="0" w:color="auto"/>
        <w:right w:val="none" w:sz="0" w:space="0" w:color="auto"/>
      </w:divBdr>
      <w:divsChild>
        <w:div w:id="403575083">
          <w:marLeft w:val="0"/>
          <w:marRight w:val="0"/>
          <w:marTop w:val="0"/>
          <w:marBottom w:val="0"/>
          <w:divBdr>
            <w:top w:val="none" w:sz="0" w:space="0" w:color="auto"/>
            <w:left w:val="none" w:sz="0" w:space="0" w:color="auto"/>
            <w:bottom w:val="none" w:sz="0" w:space="0" w:color="auto"/>
            <w:right w:val="none" w:sz="0" w:space="0" w:color="auto"/>
          </w:divBdr>
        </w:div>
        <w:div w:id="796948915">
          <w:marLeft w:val="0"/>
          <w:marRight w:val="0"/>
          <w:marTop w:val="0"/>
          <w:marBottom w:val="0"/>
          <w:divBdr>
            <w:top w:val="none" w:sz="0" w:space="0" w:color="auto"/>
            <w:left w:val="none" w:sz="0" w:space="0" w:color="auto"/>
            <w:bottom w:val="none" w:sz="0" w:space="0" w:color="auto"/>
            <w:right w:val="none" w:sz="0" w:space="0" w:color="auto"/>
          </w:divBdr>
        </w:div>
        <w:div w:id="826022600">
          <w:marLeft w:val="0"/>
          <w:marRight w:val="0"/>
          <w:marTop w:val="0"/>
          <w:marBottom w:val="0"/>
          <w:divBdr>
            <w:top w:val="none" w:sz="0" w:space="0" w:color="auto"/>
            <w:left w:val="none" w:sz="0" w:space="0" w:color="auto"/>
            <w:bottom w:val="none" w:sz="0" w:space="0" w:color="auto"/>
            <w:right w:val="none" w:sz="0" w:space="0" w:color="auto"/>
          </w:divBdr>
        </w:div>
        <w:div w:id="1690059545">
          <w:marLeft w:val="0"/>
          <w:marRight w:val="0"/>
          <w:marTop w:val="0"/>
          <w:marBottom w:val="0"/>
          <w:divBdr>
            <w:top w:val="none" w:sz="0" w:space="0" w:color="auto"/>
            <w:left w:val="none" w:sz="0" w:space="0" w:color="auto"/>
            <w:bottom w:val="none" w:sz="0" w:space="0" w:color="auto"/>
            <w:right w:val="none" w:sz="0" w:space="0" w:color="auto"/>
          </w:divBdr>
        </w:div>
        <w:div w:id="1769084897">
          <w:marLeft w:val="0"/>
          <w:marRight w:val="0"/>
          <w:marTop w:val="0"/>
          <w:marBottom w:val="0"/>
          <w:divBdr>
            <w:top w:val="none" w:sz="0" w:space="0" w:color="auto"/>
            <w:left w:val="none" w:sz="0" w:space="0" w:color="auto"/>
            <w:bottom w:val="none" w:sz="0" w:space="0" w:color="auto"/>
            <w:right w:val="none" w:sz="0" w:space="0" w:color="auto"/>
          </w:divBdr>
        </w:div>
        <w:div w:id="1908807914">
          <w:marLeft w:val="0"/>
          <w:marRight w:val="0"/>
          <w:marTop w:val="0"/>
          <w:marBottom w:val="0"/>
          <w:divBdr>
            <w:top w:val="none" w:sz="0" w:space="0" w:color="auto"/>
            <w:left w:val="none" w:sz="0" w:space="0" w:color="auto"/>
            <w:bottom w:val="none" w:sz="0" w:space="0" w:color="auto"/>
            <w:right w:val="none" w:sz="0" w:space="0" w:color="auto"/>
          </w:divBdr>
        </w:div>
      </w:divsChild>
    </w:div>
    <w:div w:id="857743093">
      <w:bodyDiv w:val="1"/>
      <w:marLeft w:val="0"/>
      <w:marRight w:val="0"/>
      <w:marTop w:val="0"/>
      <w:marBottom w:val="0"/>
      <w:divBdr>
        <w:top w:val="none" w:sz="0" w:space="0" w:color="auto"/>
        <w:left w:val="none" w:sz="0" w:space="0" w:color="auto"/>
        <w:bottom w:val="none" w:sz="0" w:space="0" w:color="auto"/>
        <w:right w:val="none" w:sz="0" w:space="0" w:color="auto"/>
      </w:divBdr>
      <w:divsChild>
        <w:div w:id="895438311">
          <w:marLeft w:val="0"/>
          <w:marRight w:val="0"/>
          <w:marTop w:val="0"/>
          <w:marBottom w:val="0"/>
          <w:divBdr>
            <w:top w:val="none" w:sz="0" w:space="0" w:color="auto"/>
            <w:left w:val="none" w:sz="0" w:space="0" w:color="auto"/>
            <w:bottom w:val="none" w:sz="0" w:space="0" w:color="auto"/>
            <w:right w:val="none" w:sz="0" w:space="0" w:color="auto"/>
          </w:divBdr>
        </w:div>
        <w:div w:id="1100682891">
          <w:marLeft w:val="0"/>
          <w:marRight w:val="0"/>
          <w:marTop w:val="0"/>
          <w:marBottom w:val="0"/>
          <w:divBdr>
            <w:top w:val="none" w:sz="0" w:space="0" w:color="auto"/>
            <w:left w:val="none" w:sz="0" w:space="0" w:color="auto"/>
            <w:bottom w:val="none" w:sz="0" w:space="0" w:color="auto"/>
            <w:right w:val="none" w:sz="0" w:space="0" w:color="auto"/>
          </w:divBdr>
        </w:div>
        <w:div w:id="1319923781">
          <w:marLeft w:val="0"/>
          <w:marRight w:val="0"/>
          <w:marTop w:val="0"/>
          <w:marBottom w:val="0"/>
          <w:divBdr>
            <w:top w:val="none" w:sz="0" w:space="0" w:color="auto"/>
            <w:left w:val="none" w:sz="0" w:space="0" w:color="auto"/>
            <w:bottom w:val="none" w:sz="0" w:space="0" w:color="auto"/>
            <w:right w:val="none" w:sz="0" w:space="0" w:color="auto"/>
          </w:divBdr>
        </w:div>
        <w:div w:id="1770007295">
          <w:marLeft w:val="0"/>
          <w:marRight w:val="0"/>
          <w:marTop w:val="0"/>
          <w:marBottom w:val="0"/>
          <w:divBdr>
            <w:top w:val="none" w:sz="0" w:space="0" w:color="auto"/>
            <w:left w:val="none" w:sz="0" w:space="0" w:color="auto"/>
            <w:bottom w:val="none" w:sz="0" w:space="0" w:color="auto"/>
            <w:right w:val="none" w:sz="0" w:space="0" w:color="auto"/>
          </w:divBdr>
        </w:div>
        <w:div w:id="1806117153">
          <w:marLeft w:val="0"/>
          <w:marRight w:val="0"/>
          <w:marTop w:val="0"/>
          <w:marBottom w:val="0"/>
          <w:divBdr>
            <w:top w:val="none" w:sz="0" w:space="0" w:color="auto"/>
            <w:left w:val="none" w:sz="0" w:space="0" w:color="auto"/>
            <w:bottom w:val="none" w:sz="0" w:space="0" w:color="auto"/>
            <w:right w:val="none" w:sz="0" w:space="0" w:color="auto"/>
          </w:divBdr>
        </w:div>
      </w:divsChild>
    </w:div>
    <w:div w:id="1184123926">
      <w:bodyDiv w:val="1"/>
      <w:marLeft w:val="0"/>
      <w:marRight w:val="0"/>
      <w:marTop w:val="0"/>
      <w:marBottom w:val="0"/>
      <w:divBdr>
        <w:top w:val="none" w:sz="0" w:space="0" w:color="auto"/>
        <w:left w:val="none" w:sz="0" w:space="0" w:color="auto"/>
        <w:bottom w:val="none" w:sz="0" w:space="0" w:color="auto"/>
        <w:right w:val="none" w:sz="0" w:space="0" w:color="auto"/>
      </w:divBdr>
      <w:divsChild>
        <w:div w:id="22295176">
          <w:marLeft w:val="0"/>
          <w:marRight w:val="0"/>
          <w:marTop w:val="0"/>
          <w:marBottom w:val="0"/>
          <w:divBdr>
            <w:top w:val="none" w:sz="0" w:space="0" w:color="auto"/>
            <w:left w:val="none" w:sz="0" w:space="0" w:color="auto"/>
            <w:bottom w:val="none" w:sz="0" w:space="0" w:color="auto"/>
            <w:right w:val="none" w:sz="0" w:space="0" w:color="auto"/>
          </w:divBdr>
        </w:div>
        <w:div w:id="369838120">
          <w:marLeft w:val="0"/>
          <w:marRight w:val="0"/>
          <w:marTop w:val="0"/>
          <w:marBottom w:val="0"/>
          <w:divBdr>
            <w:top w:val="none" w:sz="0" w:space="0" w:color="auto"/>
            <w:left w:val="none" w:sz="0" w:space="0" w:color="auto"/>
            <w:bottom w:val="none" w:sz="0" w:space="0" w:color="auto"/>
            <w:right w:val="none" w:sz="0" w:space="0" w:color="auto"/>
          </w:divBdr>
        </w:div>
        <w:div w:id="392431938">
          <w:marLeft w:val="0"/>
          <w:marRight w:val="0"/>
          <w:marTop w:val="0"/>
          <w:marBottom w:val="0"/>
          <w:divBdr>
            <w:top w:val="none" w:sz="0" w:space="0" w:color="auto"/>
            <w:left w:val="none" w:sz="0" w:space="0" w:color="auto"/>
            <w:bottom w:val="none" w:sz="0" w:space="0" w:color="auto"/>
            <w:right w:val="none" w:sz="0" w:space="0" w:color="auto"/>
          </w:divBdr>
        </w:div>
        <w:div w:id="843400933">
          <w:marLeft w:val="0"/>
          <w:marRight w:val="0"/>
          <w:marTop w:val="0"/>
          <w:marBottom w:val="0"/>
          <w:divBdr>
            <w:top w:val="none" w:sz="0" w:space="0" w:color="auto"/>
            <w:left w:val="none" w:sz="0" w:space="0" w:color="auto"/>
            <w:bottom w:val="none" w:sz="0" w:space="0" w:color="auto"/>
            <w:right w:val="none" w:sz="0" w:space="0" w:color="auto"/>
          </w:divBdr>
        </w:div>
        <w:div w:id="1071462885">
          <w:marLeft w:val="0"/>
          <w:marRight w:val="0"/>
          <w:marTop w:val="0"/>
          <w:marBottom w:val="0"/>
          <w:divBdr>
            <w:top w:val="none" w:sz="0" w:space="0" w:color="auto"/>
            <w:left w:val="none" w:sz="0" w:space="0" w:color="auto"/>
            <w:bottom w:val="none" w:sz="0" w:space="0" w:color="auto"/>
            <w:right w:val="none" w:sz="0" w:space="0" w:color="auto"/>
          </w:divBdr>
        </w:div>
        <w:div w:id="1562053639">
          <w:marLeft w:val="0"/>
          <w:marRight w:val="0"/>
          <w:marTop w:val="0"/>
          <w:marBottom w:val="0"/>
          <w:divBdr>
            <w:top w:val="none" w:sz="0" w:space="0" w:color="auto"/>
            <w:left w:val="none" w:sz="0" w:space="0" w:color="auto"/>
            <w:bottom w:val="none" w:sz="0" w:space="0" w:color="auto"/>
            <w:right w:val="none" w:sz="0" w:space="0" w:color="auto"/>
          </w:divBdr>
        </w:div>
      </w:divsChild>
    </w:div>
    <w:div w:id="1293097213">
      <w:bodyDiv w:val="1"/>
      <w:marLeft w:val="0"/>
      <w:marRight w:val="0"/>
      <w:marTop w:val="0"/>
      <w:marBottom w:val="0"/>
      <w:divBdr>
        <w:top w:val="none" w:sz="0" w:space="0" w:color="auto"/>
        <w:left w:val="none" w:sz="0" w:space="0" w:color="auto"/>
        <w:bottom w:val="none" w:sz="0" w:space="0" w:color="auto"/>
        <w:right w:val="none" w:sz="0" w:space="0" w:color="auto"/>
      </w:divBdr>
      <w:divsChild>
        <w:div w:id="231815010">
          <w:marLeft w:val="0"/>
          <w:marRight w:val="0"/>
          <w:marTop w:val="0"/>
          <w:marBottom w:val="0"/>
          <w:divBdr>
            <w:top w:val="none" w:sz="0" w:space="0" w:color="auto"/>
            <w:left w:val="none" w:sz="0" w:space="0" w:color="auto"/>
            <w:bottom w:val="none" w:sz="0" w:space="0" w:color="auto"/>
            <w:right w:val="none" w:sz="0" w:space="0" w:color="auto"/>
          </w:divBdr>
        </w:div>
        <w:div w:id="845899949">
          <w:marLeft w:val="0"/>
          <w:marRight w:val="0"/>
          <w:marTop w:val="0"/>
          <w:marBottom w:val="0"/>
          <w:divBdr>
            <w:top w:val="none" w:sz="0" w:space="0" w:color="auto"/>
            <w:left w:val="none" w:sz="0" w:space="0" w:color="auto"/>
            <w:bottom w:val="none" w:sz="0" w:space="0" w:color="auto"/>
            <w:right w:val="none" w:sz="0" w:space="0" w:color="auto"/>
          </w:divBdr>
        </w:div>
        <w:div w:id="866257660">
          <w:marLeft w:val="0"/>
          <w:marRight w:val="0"/>
          <w:marTop w:val="0"/>
          <w:marBottom w:val="0"/>
          <w:divBdr>
            <w:top w:val="none" w:sz="0" w:space="0" w:color="auto"/>
            <w:left w:val="none" w:sz="0" w:space="0" w:color="auto"/>
            <w:bottom w:val="none" w:sz="0" w:space="0" w:color="auto"/>
            <w:right w:val="none" w:sz="0" w:space="0" w:color="auto"/>
          </w:divBdr>
        </w:div>
        <w:div w:id="1656102305">
          <w:marLeft w:val="0"/>
          <w:marRight w:val="0"/>
          <w:marTop w:val="0"/>
          <w:marBottom w:val="0"/>
          <w:divBdr>
            <w:top w:val="none" w:sz="0" w:space="0" w:color="auto"/>
            <w:left w:val="none" w:sz="0" w:space="0" w:color="auto"/>
            <w:bottom w:val="none" w:sz="0" w:space="0" w:color="auto"/>
            <w:right w:val="none" w:sz="0" w:space="0" w:color="auto"/>
          </w:divBdr>
        </w:div>
      </w:divsChild>
    </w:div>
    <w:div w:id="1380663347">
      <w:bodyDiv w:val="1"/>
      <w:marLeft w:val="0"/>
      <w:marRight w:val="0"/>
      <w:marTop w:val="0"/>
      <w:marBottom w:val="0"/>
      <w:divBdr>
        <w:top w:val="none" w:sz="0" w:space="0" w:color="auto"/>
        <w:left w:val="none" w:sz="0" w:space="0" w:color="auto"/>
        <w:bottom w:val="none" w:sz="0" w:space="0" w:color="auto"/>
        <w:right w:val="none" w:sz="0" w:space="0" w:color="auto"/>
      </w:divBdr>
      <w:divsChild>
        <w:div w:id="41026618">
          <w:marLeft w:val="0"/>
          <w:marRight w:val="0"/>
          <w:marTop w:val="0"/>
          <w:marBottom w:val="0"/>
          <w:divBdr>
            <w:top w:val="none" w:sz="0" w:space="0" w:color="auto"/>
            <w:left w:val="none" w:sz="0" w:space="0" w:color="auto"/>
            <w:bottom w:val="none" w:sz="0" w:space="0" w:color="auto"/>
            <w:right w:val="none" w:sz="0" w:space="0" w:color="auto"/>
          </w:divBdr>
        </w:div>
        <w:div w:id="281889368">
          <w:marLeft w:val="0"/>
          <w:marRight w:val="0"/>
          <w:marTop w:val="0"/>
          <w:marBottom w:val="0"/>
          <w:divBdr>
            <w:top w:val="none" w:sz="0" w:space="0" w:color="auto"/>
            <w:left w:val="none" w:sz="0" w:space="0" w:color="auto"/>
            <w:bottom w:val="none" w:sz="0" w:space="0" w:color="auto"/>
            <w:right w:val="none" w:sz="0" w:space="0" w:color="auto"/>
          </w:divBdr>
        </w:div>
        <w:div w:id="432700781">
          <w:marLeft w:val="0"/>
          <w:marRight w:val="0"/>
          <w:marTop w:val="0"/>
          <w:marBottom w:val="0"/>
          <w:divBdr>
            <w:top w:val="none" w:sz="0" w:space="0" w:color="auto"/>
            <w:left w:val="none" w:sz="0" w:space="0" w:color="auto"/>
            <w:bottom w:val="none" w:sz="0" w:space="0" w:color="auto"/>
            <w:right w:val="none" w:sz="0" w:space="0" w:color="auto"/>
          </w:divBdr>
        </w:div>
        <w:div w:id="542449150">
          <w:marLeft w:val="0"/>
          <w:marRight w:val="0"/>
          <w:marTop w:val="0"/>
          <w:marBottom w:val="0"/>
          <w:divBdr>
            <w:top w:val="none" w:sz="0" w:space="0" w:color="auto"/>
            <w:left w:val="none" w:sz="0" w:space="0" w:color="auto"/>
            <w:bottom w:val="none" w:sz="0" w:space="0" w:color="auto"/>
            <w:right w:val="none" w:sz="0" w:space="0" w:color="auto"/>
          </w:divBdr>
        </w:div>
        <w:div w:id="1545484882">
          <w:marLeft w:val="0"/>
          <w:marRight w:val="0"/>
          <w:marTop w:val="0"/>
          <w:marBottom w:val="0"/>
          <w:divBdr>
            <w:top w:val="none" w:sz="0" w:space="0" w:color="auto"/>
            <w:left w:val="none" w:sz="0" w:space="0" w:color="auto"/>
            <w:bottom w:val="none" w:sz="0" w:space="0" w:color="auto"/>
            <w:right w:val="none" w:sz="0" w:space="0" w:color="auto"/>
          </w:divBdr>
        </w:div>
      </w:divsChild>
    </w:div>
    <w:div w:id="1543710094">
      <w:bodyDiv w:val="1"/>
      <w:marLeft w:val="0"/>
      <w:marRight w:val="0"/>
      <w:marTop w:val="0"/>
      <w:marBottom w:val="0"/>
      <w:divBdr>
        <w:top w:val="none" w:sz="0" w:space="0" w:color="auto"/>
        <w:left w:val="none" w:sz="0" w:space="0" w:color="auto"/>
        <w:bottom w:val="none" w:sz="0" w:space="0" w:color="auto"/>
        <w:right w:val="none" w:sz="0" w:space="0" w:color="auto"/>
      </w:divBdr>
    </w:div>
    <w:div w:id="2059935837">
      <w:bodyDiv w:val="1"/>
      <w:marLeft w:val="0"/>
      <w:marRight w:val="0"/>
      <w:marTop w:val="0"/>
      <w:marBottom w:val="0"/>
      <w:divBdr>
        <w:top w:val="none" w:sz="0" w:space="0" w:color="auto"/>
        <w:left w:val="none" w:sz="0" w:space="0" w:color="auto"/>
        <w:bottom w:val="none" w:sz="0" w:space="0" w:color="auto"/>
        <w:right w:val="none" w:sz="0" w:space="0" w:color="auto"/>
      </w:divBdr>
      <w:divsChild>
        <w:div w:id="272444200">
          <w:marLeft w:val="0"/>
          <w:marRight w:val="0"/>
          <w:marTop w:val="0"/>
          <w:marBottom w:val="0"/>
          <w:divBdr>
            <w:top w:val="none" w:sz="0" w:space="0" w:color="auto"/>
            <w:left w:val="none" w:sz="0" w:space="0" w:color="auto"/>
            <w:bottom w:val="none" w:sz="0" w:space="0" w:color="auto"/>
            <w:right w:val="none" w:sz="0" w:space="0" w:color="auto"/>
          </w:divBdr>
        </w:div>
        <w:div w:id="768962747">
          <w:marLeft w:val="0"/>
          <w:marRight w:val="0"/>
          <w:marTop w:val="0"/>
          <w:marBottom w:val="0"/>
          <w:divBdr>
            <w:top w:val="none" w:sz="0" w:space="0" w:color="auto"/>
            <w:left w:val="none" w:sz="0" w:space="0" w:color="auto"/>
            <w:bottom w:val="none" w:sz="0" w:space="0" w:color="auto"/>
            <w:right w:val="none" w:sz="0" w:space="0" w:color="auto"/>
          </w:divBdr>
        </w:div>
        <w:div w:id="1302031974">
          <w:marLeft w:val="0"/>
          <w:marRight w:val="0"/>
          <w:marTop w:val="0"/>
          <w:marBottom w:val="0"/>
          <w:divBdr>
            <w:top w:val="none" w:sz="0" w:space="0" w:color="auto"/>
            <w:left w:val="none" w:sz="0" w:space="0" w:color="auto"/>
            <w:bottom w:val="none" w:sz="0" w:space="0" w:color="auto"/>
            <w:right w:val="none" w:sz="0" w:space="0" w:color="auto"/>
          </w:divBdr>
        </w:div>
        <w:div w:id="1373844329">
          <w:marLeft w:val="0"/>
          <w:marRight w:val="0"/>
          <w:marTop w:val="0"/>
          <w:marBottom w:val="0"/>
          <w:divBdr>
            <w:top w:val="none" w:sz="0" w:space="0" w:color="auto"/>
            <w:left w:val="none" w:sz="0" w:space="0" w:color="auto"/>
            <w:bottom w:val="none" w:sz="0" w:space="0" w:color="auto"/>
            <w:right w:val="none" w:sz="0" w:space="0" w:color="auto"/>
          </w:divBdr>
        </w:div>
        <w:div w:id="1682197022">
          <w:marLeft w:val="0"/>
          <w:marRight w:val="0"/>
          <w:marTop w:val="0"/>
          <w:marBottom w:val="0"/>
          <w:divBdr>
            <w:top w:val="none" w:sz="0" w:space="0" w:color="auto"/>
            <w:left w:val="none" w:sz="0" w:space="0" w:color="auto"/>
            <w:bottom w:val="none" w:sz="0" w:space="0" w:color="auto"/>
            <w:right w:val="none" w:sz="0" w:space="0" w:color="auto"/>
          </w:divBdr>
        </w:div>
        <w:div w:id="1844735453">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2.xml"/><Relationship Id="rId20" Type="http://schemas.openxmlformats.org/officeDocument/2006/relationships/image" Target="media/image5.png"/><Relationship Id="rId21" Type="http://schemas.openxmlformats.org/officeDocument/2006/relationships/image" Target="media/image6.png"/><Relationship Id="rId22" Type="http://schemas.openxmlformats.org/officeDocument/2006/relationships/image" Target="media/image7.png"/><Relationship Id="rId23" Type="http://schemas.openxmlformats.org/officeDocument/2006/relationships/image" Target="media/image8.png"/><Relationship Id="rId24" Type="http://schemas.openxmlformats.org/officeDocument/2006/relationships/image" Target="media/image9.png"/><Relationship Id="rId25" Type="http://schemas.openxmlformats.org/officeDocument/2006/relationships/image" Target="media/image10.png"/><Relationship Id="rId26" Type="http://schemas.openxmlformats.org/officeDocument/2006/relationships/image" Target="media/image11.png"/><Relationship Id="rId27" Type="http://schemas.openxmlformats.org/officeDocument/2006/relationships/footer" Target="footer6.xml"/><Relationship Id="rId28" Type="http://schemas.openxmlformats.org/officeDocument/2006/relationships/fontTable" Target="fontTable.xml"/><Relationship Id="rId29" Type="http://schemas.openxmlformats.org/officeDocument/2006/relationships/theme" Target="theme/theme1.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header" Target="header4.xml"/><Relationship Id="rId15" Type="http://schemas.openxmlformats.org/officeDocument/2006/relationships/footer" Target="footer4.xml"/><Relationship Id="rId16" Type="http://schemas.openxmlformats.org/officeDocument/2006/relationships/footer" Target="footer5.xml"/><Relationship Id="rId17" Type="http://schemas.openxmlformats.org/officeDocument/2006/relationships/image" Target="media/image2.png"/><Relationship Id="rId18" Type="http://schemas.openxmlformats.org/officeDocument/2006/relationships/image" Target="media/image3.png"/><Relationship Id="rId19" Type="http://schemas.openxmlformats.org/officeDocument/2006/relationships/image" Target="media/image4.png"/><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fes-asia.org/media/publication/2012_GreenJobsInPoland_FES-EoT_Study_Szweed_Maciejewska.pdf" TargetMode="External"/><Relationship Id="rId4" Type="http://schemas.openxmlformats.org/officeDocument/2006/relationships/hyperlink" Target="http://www.eia.gov/todayinenergy/detail.cfm?id=9751&amp;src=email" TargetMode="External"/><Relationship Id="rId5" Type="http://schemas.openxmlformats.org/officeDocument/2006/relationships/hyperlink" Target="http://www.theguardian.com/environment/2013/jan/30/china-burns-half-coal-worldwide" TargetMode="External"/><Relationship Id="rId1" Type="http://schemas.openxmlformats.org/officeDocument/2006/relationships/hyperlink" Target="http://www.eco-innovation.eu/media/EIO_Country_Brief_2011_Poland.pdf" TargetMode="External"/><Relationship Id="rId2" Type="http://schemas.openxmlformats.org/officeDocument/2006/relationships/hyperlink" Target="http://www.eco-innovation.eu/media/EIO_Country_Brief_2011_Polan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46</Pages>
  <Words>14972</Words>
  <Characters>85342</Characters>
  <Application>Microsoft Macintosh Word</Application>
  <DocSecurity>0</DocSecurity>
  <Lines>711</Lines>
  <Paragraphs>170</Paragraphs>
  <ScaleCrop>false</ScaleCrop>
  <HeadingPairs>
    <vt:vector size="2" baseType="variant">
      <vt:variant>
        <vt:lpstr>Title</vt:lpstr>
      </vt:variant>
      <vt:variant>
        <vt:i4>1</vt:i4>
      </vt:variant>
    </vt:vector>
  </HeadingPairs>
  <TitlesOfParts>
    <vt:vector size="1" baseType="lpstr">
      <vt:lpstr/>
    </vt:vector>
  </TitlesOfParts>
  <Company>Ecologic gGmbH</Company>
  <LinksUpToDate>false</LinksUpToDate>
  <CharactersWithSpaces>104805</CharactersWithSpaces>
  <SharedDoc>false</SharedDoc>
  <HLinks>
    <vt:vector size="30" baseType="variant">
      <vt:variant>
        <vt:i4>1507380</vt:i4>
      </vt:variant>
      <vt:variant>
        <vt:i4>26</vt:i4>
      </vt:variant>
      <vt:variant>
        <vt:i4>0</vt:i4>
      </vt:variant>
      <vt:variant>
        <vt:i4>5</vt:i4>
      </vt:variant>
      <vt:variant>
        <vt:lpwstr/>
      </vt:variant>
      <vt:variant>
        <vt:lpwstr>_Toc234666437</vt:lpwstr>
      </vt:variant>
      <vt:variant>
        <vt:i4>1507380</vt:i4>
      </vt:variant>
      <vt:variant>
        <vt:i4>20</vt:i4>
      </vt:variant>
      <vt:variant>
        <vt:i4>0</vt:i4>
      </vt:variant>
      <vt:variant>
        <vt:i4>5</vt:i4>
      </vt:variant>
      <vt:variant>
        <vt:lpwstr/>
      </vt:variant>
      <vt:variant>
        <vt:lpwstr>_Toc234666436</vt:lpwstr>
      </vt:variant>
      <vt:variant>
        <vt:i4>1507380</vt:i4>
      </vt:variant>
      <vt:variant>
        <vt:i4>14</vt:i4>
      </vt:variant>
      <vt:variant>
        <vt:i4>0</vt:i4>
      </vt:variant>
      <vt:variant>
        <vt:i4>5</vt:i4>
      </vt:variant>
      <vt:variant>
        <vt:lpwstr/>
      </vt:variant>
      <vt:variant>
        <vt:lpwstr>_Toc234666435</vt:lpwstr>
      </vt:variant>
      <vt:variant>
        <vt:i4>1507380</vt:i4>
      </vt:variant>
      <vt:variant>
        <vt:i4>8</vt:i4>
      </vt:variant>
      <vt:variant>
        <vt:i4>0</vt:i4>
      </vt:variant>
      <vt:variant>
        <vt:i4>5</vt:i4>
      </vt:variant>
      <vt:variant>
        <vt:lpwstr/>
      </vt:variant>
      <vt:variant>
        <vt:lpwstr>_Toc234666434</vt:lpwstr>
      </vt:variant>
      <vt:variant>
        <vt:i4>1507380</vt:i4>
      </vt:variant>
      <vt:variant>
        <vt:i4>2</vt:i4>
      </vt:variant>
      <vt:variant>
        <vt:i4>0</vt:i4>
      </vt:variant>
      <vt:variant>
        <vt:i4>5</vt:i4>
      </vt:variant>
      <vt:variant>
        <vt:lpwstr/>
      </vt:variant>
      <vt:variant>
        <vt:lpwstr>_Toc234666433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Görlach</dc:creator>
  <cp:keywords/>
  <cp:lastModifiedBy>Benjamin Görlach</cp:lastModifiedBy>
  <cp:revision>6</cp:revision>
  <cp:lastPrinted>2013-12-02T13:28:00Z</cp:lastPrinted>
  <dcterms:created xsi:type="dcterms:W3CDTF">2014-01-24T14:47:00Z</dcterms:created>
  <dcterms:modified xsi:type="dcterms:W3CDTF">2014-01-24T15:59:00Z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zotero-version="4.0.17.1"&gt;&lt;session id="zV15XOtX"/&gt;&lt;style id="http://www.zotero.org/styles/chicago-note-bibliography" hasBibliography="1" bibliographyStyleHasBeenSet="1"/&gt;&lt;prefs&gt;&lt;pref name="fieldType" value="Field"/&gt;&lt;pref name="store</vt:lpwstr>
  </property>
  <property fmtid="{D5CDD505-2E9C-101B-9397-08002B2CF9AE}" pid="3" name="ZOTERO_PREF_2">
    <vt:lpwstr>References" value="true"/&gt;&lt;pref name="automaticJournalAbbreviations" value="true"/&gt;&lt;pref name="noteType" value="1"/&gt;&lt;/prefs&gt;&lt;/data&gt;</vt:lpwstr>
  </property>
</Properties>
</file>